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39" w:type="dxa"/>
        <w:tblLayout w:type="fixed"/>
        <w:tblLook w:val="0000" w:firstRow="0" w:lastRow="0" w:firstColumn="0" w:lastColumn="0" w:noHBand="0" w:noVBand="0"/>
      </w:tblPr>
      <w:tblGrid>
        <w:gridCol w:w="959"/>
        <w:gridCol w:w="6662"/>
        <w:gridCol w:w="1418"/>
      </w:tblGrid>
      <w:tr w:rsidR="0030642E" w:rsidTr="003E07AA">
        <w:tc>
          <w:tcPr>
            <w:tcW w:w="959" w:type="dxa"/>
          </w:tcPr>
          <w:p w:rsidR="0030642E" w:rsidRDefault="0030642E" w:rsidP="003E07AA">
            <w:pPr>
              <w:rPr>
                <w:rFonts w:ascii="Arial Mäori" w:hAnsi="Arial Mäori" w:cs="Arial Mäori"/>
                <w:spacing w:val="-3"/>
                <w:sz w:val="22"/>
                <w:lang w:val="en-US"/>
              </w:rPr>
            </w:pPr>
          </w:p>
        </w:tc>
        <w:tc>
          <w:tcPr>
            <w:tcW w:w="6662" w:type="dxa"/>
          </w:tcPr>
          <w:p w:rsidR="0030642E" w:rsidRPr="0030642E" w:rsidRDefault="0030642E" w:rsidP="003E07AA">
            <w:pPr>
              <w:tabs>
                <w:tab w:val="center" w:pos="3514"/>
              </w:tabs>
              <w:suppressAutoHyphens/>
              <w:spacing w:before="120" w:after="120"/>
              <w:jc w:val="center"/>
              <w:rPr>
                <w:rFonts w:ascii="Arial Mäori" w:hAnsi="Arial Mäori" w:cs="Arial Mäori"/>
                <w:b/>
                <w:spacing w:val="-3"/>
                <w:sz w:val="24"/>
                <w:u w:val="single"/>
                <w:lang w:val="en-US"/>
              </w:rPr>
            </w:pPr>
            <w:r w:rsidRPr="0030642E">
              <w:rPr>
                <w:rFonts w:ascii="Arial Mäori" w:hAnsi="Arial Mäori" w:cs="Arial Mäori"/>
                <w:b/>
                <w:spacing w:val="-3"/>
                <w:sz w:val="24"/>
                <w:u w:val="single"/>
                <w:lang w:val="en-US"/>
              </w:rPr>
              <w:t>CANON XIX</w:t>
            </w:r>
          </w:p>
          <w:p w:rsidR="0030642E" w:rsidRPr="0030642E" w:rsidRDefault="0030642E" w:rsidP="003E07AA">
            <w:pPr>
              <w:tabs>
                <w:tab w:val="center" w:pos="3514"/>
              </w:tabs>
              <w:suppressAutoHyphens/>
              <w:spacing w:before="120" w:after="120"/>
              <w:jc w:val="center"/>
              <w:rPr>
                <w:rFonts w:ascii="Arial Mäori" w:hAnsi="Arial Mäori" w:cs="Arial Mäori"/>
                <w:b/>
                <w:spacing w:val="-3"/>
                <w:sz w:val="24"/>
                <w:u w:val="single"/>
                <w:lang w:val="en-US"/>
              </w:rPr>
            </w:pPr>
            <w:r w:rsidRPr="0030642E">
              <w:rPr>
                <w:rFonts w:ascii="Arial Mäori" w:hAnsi="Arial Mäori" w:cs="Arial Mäori"/>
                <w:b/>
                <w:spacing w:val="-3"/>
                <w:sz w:val="24"/>
                <w:u w:val="single"/>
                <w:lang w:val="en-US"/>
              </w:rPr>
              <w:t>OF THE COMMISSION ON COMMUNICATIONS</w:t>
            </w:r>
          </w:p>
        </w:tc>
        <w:tc>
          <w:tcPr>
            <w:tcW w:w="1418" w:type="dxa"/>
          </w:tcPr>
          <w:p w:rsidR="002C4785" w:rsidRDefault="002C4785" w:rsidP="003E07AA">
            <w:pPr>
              <w:rPr>
                <w:rFonts w:ascii="Arial Mäori" w:hAnsi="Arial Mäori" w:cs="Arial Mäori"/>
                <w:i/>
                <w:iCs/>
                <w:sz w:val="18"/>
              </w:rPr>
            </w:pPr>
          </w:p>
          <w:p w:rsidR="0030642E" w:rsidRDefault="00474CCE" w:rsidP="003E07AA">
            <w:pPr>
              <w:rPr>
                <w:rFonts w:ascii="Arial Mäori" w:hAnsi="Arial Mäori" w:cs="Arial Mäori"/>
                <w:i/>
                <w:iCs/>
                <w:sz w:val="18"/>
              </w:rPr>
            </w:pPr>
            <w:r>
              <w:rPr>
                <w:rFonts w:ascii="Arial Mäori" w:hAnsi="Arial Mäori" w:cs="Arial Mäori"/>
                <w:i/>
                <w:iCs/>
                <w:sz w:val="18"/>
              </w:rPr>
              <w:t>1992</w:t>
            </w:r>
          </w:p>
        </w:tc>
      </w:tr>
      <w:tr w:rsidR="0030642E" w:rsidTr="003E07AA">
        <w:tc>
          <w:tcPr>
            <w:tcW w:w="959" w:type="dxa"/>
          </w:tcPr>
          <w:p w:rsidR="0030642E" w:rsidRPr="00452870" w:rsidRDefault="0030642E" w:rsidP="003E07AA">
            <w:pPr>
              <w:rPr>
                <w:rFonts w:ascii="Arial Mäori" w:hAnsi="Arial Mäori" w:cs="Arial Mäori"/>
                <w:spacing w:val="-3"/>
                <w:sz w:val="22"/>
                <w:lang w:val="en-US"/>
              </w:rPr>
            </w:pPr>
          </w:p>
        </w:tc>
        <w:tc>
          <w:tcPr>
            <w:tcW w:w="6662" w:type="dxa"/>
          </w:tcPr>
          <w:p w:rsidR="0030642E" w:rsidRPr="00452870" w:rsidRDefault="0030642E" w:rsidP="0030642E">
            <w:pPr>
              <w:tabs>
                <w:tab w:val="center" w:pos="3514"/>
              </w:tabs>
              <w:suppressAutoHyphens/>
              <w:spacing w:before="120" w:after="120"/>
              <w:rPr>
                <w:rFonts w:ascii="Arial Mäori" w:hAnsi="Arial Mäori" w:cs="Arial Mäori"/>
                <w:spacing w:val="-3"/>
                <w:sz w:val="22"/>
                <w:lang w:val="en-US"/>
              </w:rPr>
            </w:pPr>
            <w:r w:rsidRPr="00452870">
              <w:rPr>
                <w:rFonts w:ascii="Arial Mäori" w:hAnsi="Arial Mäori" w:cs="Arial Mäori"/>
                <w:spacing w:val="-3"/>
                <w:sz w:val="22"/>
                <w:lang w:val="en-US"/>
              </w:rPr>
              <w:t>Repealed 2016.</w:t>
            </w:r>
          </w:p>
        </w:tc>
        <w:tc>
          <w:tcPr>
            <w:tcW w:w="1418" w:type="dxa"/>
          </w:tcPr>
          <w:p w:rsidR="0030642E" w:rsidRDefault="0030642E" w:rsidP="003E07AA">
            <w:pPr>
              <w:rPr>
                <w:rFonts w:ascii="Arial Mäori" w:hAnsi="Arial Mäori" w:cs="Arial Mäori"/>
                <w:i/>
                <w:iCs/>
                <w:sz w:val="18"/>
              </w:rPr>
            </w:pPr>
          </w:p>
        </w:tc>
      </w:tr>
      <w:tr w:rsidR="004970D6" w:rsidTr="003E07AA">
        <w:tc>
          <w:tcPr>
            <w:tcW w:w="959" w:type="dxa"/>
          </w:tcPr>
          <w:p w:rsidR="004970D6" w:rsidRDefault="004970D6" w:rsidP="003E07AA">
            <w:pPr>
              <w:rPr>
                <w:rFonts w:ascii="Arial Mäori" w:hAnsi="Arial Mäori" w:cs="Arial Mäori"/>
                <w:spacing w:val="-3"/>
                <w:sz w:val="22"/>
                <w:lang w:val="en-US"/>
              </w:rPr>
            </w:pPr>
          </w:p>
        </w:tc>
        <w:tc>
          <w:tcPr>
            <w:tcW w:w="6662" w:type="dxa"/>
          </w:tcPr>
          <w:p w:rsidR="004970D6" w:rsidRPr="00017972" w:rsidRDefault="004970D6" w:rsidP="003E07AA">
            <w:pPr>
              <w:tabs>
                <w:tab w:val="center" w:pos="3514"/>
              </w:tabs>
              <w:suppressAutoHyphens/>
              <w:spacing w:before="120" w:after="120"/>
              <w:jc w:val="center"/>
              <w:rPr>
                <w:rFonts w:ascii="Arial Mäori" w:hAnsi="Arial Mäori" w:cs="Arial Mäori"/>
                <w:b/>
                <w:spacing w:val="-3"/>
                <w:sz w:val="24"/>
                <w:u w:val="single"/>
                <w:lang w:val="en-US"/>
              </w:rPr>
            </w:pPr>
            <w:r w:rsidRPr="00017972">
              <w:rPr>
                <w:rFonts w:ascii="Arial Mäori" w:hAnsi="Arial Mäori" w:cs="Arial Mäori"/>
                <w:b/>
                <w:spacing w:val="-3"/>
                <w:sz w:val="24"/>
                <w:u w:val="single"/>
                <w:lang w:val="en-US"/>
              </w:rPr>
              <w:t>CANON XIX</w:t>
            </w:r>
          </w:p>
          <w:p w:rsidR="004970D6" w:rsidRDefault="004970D6" w:rsidP="00C2194B">
            <w:pPr>
              <w:tabs>
                <w:tab w:val="left" w:pos="-1440"/>
                <w:tab w:val="left" w:pos="-720"/>
                <w:tab w:val="left" w:pos="0"/>
                <w:tab w:val="left" w:pos="720"/>
                <w:tab w:val="left" w:pos="1224"/>
                <w:tab w:val="left" w:pos="2358"/>
                <w:tab w:val="left" w:pos="2880"/>
              </w:tabs>
              <w:suppressAutoHyphens/>
              <w:jc w:val="center"/>
              <w:rPr>
                <w:rFonts w:ascii="Arial Mäori" w:hAnsi="Arial Mäori" w:cs="Arial Mäori"/>
                <w:spacing w:val="-3"/>
                <w:sz w:val="22"/>
                <w:lang w:val="en-US"/>
              </w:rPr>
            </w:pPr>
            <w:r w:rsidRPr="00017972">
              <w:rPr>
                <w:rFonts w:ascii="Arial Mäori" w:hAnsi="Arial Mäori" w:cs="Arial Mäori"/>
                <w:b/>
                <w:spacing w:val="-3"/>
                <w:sz w:val="24"/>
                <w:u w:val="single"/>
                <w:lang w:val="en-US"/>
              </w:rPr>
              <w:t xml:space="preserve">OF THE </w:t>
            </w:r>
            <w:r w:rsidR="00E94F87">
              <w:rPr>
                <w:rFonts w:ascii="Arial Mäori" w:hAnsi="Arial Mäori" w:cs="Arial Mäori"/>
                <w:b/>
                <w:spacing w:val="-3"/>
                <w:sz w:val="24"/>
                <w:u w:val="single"/>
                <w:lang w:val="en-US"/>
              </w:rPr>
              <w:t xml:space="preserve">ANGLICAN </w:t>
            </w:r>
            <w:r w:rsidRPr="00017972">
              <w:rPr>
                <w:rFonts w:ascii="Arial Mäori" w:hAnsi="Arial Mäori" w:cs="Arial Mäori"/>
                <w:b/>
                <w:spacing w:val="-3"/>
                <w:sz w:val="24"/>
                <w:u w:val="single"/>
                <w:lang w:val="en-US"/>
              </w:rPr>
              <w:t>COMMUNICATIONS</w:t>
            </w:r>
            <w:r w:rsidR="00E94F87">
              <w:rPr>
                <w:rFonts w:ascii="Arial Mäori" w:hAnsi="Arial Mäori" w:cs="Arial Mäori"/>
                <w:b/>
                <w:spacing w:val="-3"/>
                <w:sz w:val="24"/>
                <w:u w:val="single"/>
                <w:lang w:val="en-US"/>
              </w:rPr>
              <w:t xml:space="preserve"> </w:t>
            </w:r>
            <w:r w:rsidR="00E94F87">
              <w:rPr>
                <w:rFonts w:ascii="Arial Mäori" w:hAnsi="Arial Mäori" w:cs="Arial Mäori"/>
                <w:b/>
                <w:spacing w:val="-3"/>
                <w:sz w:val="24"/>
                <w:u w:val="single"/>
                <w:lang w:val="en-US"/>
              </w:rPr>
              <w:br/>
              <w:t>AND MEDIA OFFICE</w:t>
            </w:r>
          </w:p>
        </w:tc>
        <w:tc>
          <w:tcPr>
            <w:tcW w:w="1418" w:type="dxa"/>
          </w:tcPr>
          <w:p w:rsidR="004970D6" w:rsidRDefault="004970D6" w:rsidP="003E07AA">
            <w:pPr>
              <w:rPr>
                <w:rFonts w:ascii="Arial Mäori" w:hAnsi="Arial Mäori" w:cs="Arial Mäori"/>
                <w:i/>
                <w:iCs/>
                <w:sz w:val="18"/>
              </w:rPr>
            </w:pPr>
          </w:p>
          <w:p w:rsidR="004970D6" w:rsidRDefault="004970D6" w:rsidP="003E07AA">
            <w:pPr>
              <w:rPr>
                <w:rFonts w:ascii="Arial Mäori" w:hAnsi="Arial Mäori" w:cs="Arial Mäori"/>
                <w:i/>
                <w:iCs/>
                <w:sz w:val="18"/>
              </w:rPr>
            </w:pPr>
          </w:p>
          <w:p w:rsidR="004970D6" w:rsidRDefault="004970D6" w:rsidP="003E07AA">
            <w:pPr>
              <w:rPr>
                <w:rFonts w:ascii="Arial Mäori" w:hAnsi="Arial Mäori" w:cs="Arial Mäori"/>
                <w:i/>
                <w:iCs/>
                <w:sz w:val="18"/>
              </w:rPr>
            </w:pPr>
          </w:p>
          <w:p w:rsidR="004970D6" w:rsidRDefault="00E94F87" w:rsidP="003E07AA">
            <w:pPr>
              <w:rPr>
                <w:rFonts w:ascii="Arial Mäori" w:hAnsi="Arial Mäori" w:cs="Arial Mäori"/>
                <w:i/>
                <w:iCs/>
                <w:sz w:val="18"/>
              </w:rPr>
            </w:pPr>
            <w:r>
              <w:rPr>
                <w:rFonts w:ascii="Arial Mäori" w:hAnsi="Arial Mäori" w:cs="Arial Mäori"/>
                <w:i/>
                <w:iCs/>
                <w:sz w:val="18"/>
              </w:rPr>
              <w:t>2016</w:t>
            </w:r>
          </w:p>
        </w:tc>
      </w:tr>
      <w:tr w:rsidR="00104E19" w:rsidTr="00303868">
        <w:tc>
          <w:tcPr>
            <w:tcW w:w="7621" w:type="dxa"/>
            <w:gridSpan w:val="2"/>
          </w:tcPr>
          <w:p w:rsidR="00104E19" w:rsidRPr="008C2157" w:rsidRDefault="00104E19" w:rsidP="00104E19">
            <w:pPr>
              <w:rPr>
                <w:rFonts w:ascii="Arial Mäori" w:hAnsi="Arial Mäori" w:cs="Arial Mäori"/>
                <w:b/>
                <w:spacing w:val="-3"/>
                <w:sz w:val="22"/>
                <w:lang w:val="en-US"/>
              </w:rPr>
            </w:pPr>
            <w:r>
              <w:rPr>
                <w:rFonts w:ascii="Arial Mäori" w:hAnsi="Arial Mäori" w:cs="Arial Mäori"/>
                <w:b/>
                <w:spacing w:val="-3"/>
                <w:sz w:val="22"/>
                <w:lang w:val="en-US"/>
              </w:rPr>
              <w:t>PURPOSE</w:t>
            </w:r>
          </w:p>
        </w:tc>
        <w:tc>
          <w:tcPr>
            <w:tcW w:w="1418" w:type="dxa"/>
          </w:tcPr>
          <w:p w:rsidR="00104E19" w:rsidRDefault="00104E19" w:rsidP="003E07AA">
            <w:pPr>
              <w:rPr>
                <w:rFonts w:ascii="Arial Mäori" w:hAnsi="Arial Mäori" w:cs="Arial Mäori"/>
                <w:i/>
                <w:iCs/>
                <w:sz w:val="18"/>
              </w:rPr>
            </w:pPr>
          </w:p>
        </w:tc>
      </w:tr>
      <w:tr w:rsidR="004970D6" w:rsidTr="003E07AA">
        <w:tc>
          <w:tcPr>
            <w:tcW w:w="959" w:type="dxa"/>
          </w:tcPr>
          <w:p w:rsidR="004970D6" w:rsidRDefault="004970D6" w:rsidP="003E07AA">
            <w:pPr>
              <w:rPr>
                <w:rFonts w:ascii="Arial Mäori" w:hAnsi="Arial Mäori" w:cs="Arial Mäori"/>
                <w:spacing w:val="-3"/>
                <w:sz w:val="22"/>
                <w:lang w:val="en-US"/>
              </w:rPr>
            </w:pPr>
          </w:p>
        </w:tc>
        <w:tc>
          <w:tcPr>
            <w:tcW w:w="6662" w:type="dxa"/>
          </w:tcPr>
          <w:p w:rsidR="004970D6" w:rsidRDefault="008C2157" w:rsidP="007F347F">
            <w:pPr>
              <w:tabs>
                <w:tab w:val="left" w:pos="-1440"/>
                <w:tab w:val="left" w:pos="-720"/>
                <w:tab w:val="left" w:pos="0"/>
                <w:tab w:val="left" w:pos="720"/>
                <w:tab w:val="left" w:pos="1224"/>
                <w:tab w:val="left" w:pos="2358"/>
                <w:tab w:val="left" w:pos="2880"/>
              </w:tabs>
              <w:suppressAutoHyphens/>
              <w:spacing w:before="120" w:after="120"/>
              <w:jc w:val="both"/>
              <w:rPr>
                <w:rFonts w:ascii="Arial Mäori" w:hAnsi="Arial Mäori" w:cs="Arial Mäori"/>
                <w:spacing w:val="-3"/>
                <w:sz w:val="22"/>
                <w:lang w:val="en-US"/>
              </w:rPr>
            </w:pPr>
            <w:r>
              <w:rPr>
                <w:rFonts w:ascii="Arial Mäori" w:hAnsi="Arial Mäori" w:cs="Arial Mäori"/>
                <w:spacing w:val="-3"/>
                <w:sz w:val="22"/>
                <w:lang w:val="en-US"/>
              </w:rPr>
              <w:t xml:space="preserve">To establish an Anglican Communications and Media office (ACMO) serving the </w:t>
            </w:r>
            <w:r w:rsidR="00E052EC" w:rsidRPr="00C5297A">
              <w:rPr>
                <w:rFonts w:ascii="Arial Mäori" w:hAnsi="Arial Mäori" w:cs="Arial Mäori"/>
                <w:spacing w:val="-3"/>
                <w:sz w:val="22"/>
                <w:lang w:val="en-US"/>
              </w:rPr>
              <w:t>General Synod / te Hīnota Whānui</w:t>
            </w:r>
            <w:r w:rsidR="00E052EC">
              <w:rPr>
                <w:rFonts w:ascii="Arial Mäori" w:hAnsi="Arial Mäori" w:cs="Arial Mäori"/>
                <w:spacing w:val="-3"/>
                <w:sz w:val="22"/>
                <w:lang w:val="en-US"/>
              </w:rPr>
              <w:t>, the General Synod Standing Committee, the Office of the Primate, and the House of Bishops, and being available to the wider church.</w:t>
            </w:r>
          </w:p>
        </w:tc>
        <w:tc>
          <w:tcPr>
            <w:tcW w:w="1418" w:type="dxa"/>
          </w:tcPr>
          <w:p w:rsidR="004970D6" w:rsidRDefault="004970D6" w:rsidP="003E07AA">
            <w:pPr>
              <w:rPr>
                <w:rFonts w:ascii="Arial Mäori" w:hAnsi="Arial Mäori" w:cs="Arial Mäori"/>
                <w:i/>
                <w:iCs/>
                <w:sz w:val="18"/>
              </w:rPr>
            </w:pPr>
          </w:p>
        </w:tc>
      </w:tr>
      <w:tr w:rsidR="003B6A8C" w:rsidRPr="00C5297A" w:rsidTr="00854523">
        <w:tc>
          <w:tcPr>
            <w:tcW w:w="7621" w:type="dxa"/>
            <w:gridSpan w:val="2"/>
          </w:tcPr>
          <w:p w:rsidR="003B6A8C" w:rsidRPr="007F347F" w:rsidRDefault="003B6A8C" w:rsidP="003E07AA">
            <w:pPr>
              <w:tabs>
                <w:tab w:val="left" w:pos="-1440"/>
                <w:tab w:val="left" w:pos="-720"/>
                <w:tab w:val="left" w:pos="0"/>
                <w:tab w:val="left" w:pos="720"/>
                <w:tab w:val="left" w:pos="1224"/>
                <w:tab w:val="left" w:pos="2358"/>
                <w:tab w:val="left" w:pos="2880"/>
              </w:tabs>
              <w:suppressAutoHyphens/>
              <w:jc w:val="both"/>
              <w:rPr>
                <w:rFonts w:ascii="Arial Mäori" w:hAnsi="Arial Mäori" w:cs="Arial Mäori"/>
                <w:b/>
                <w:spacing w:val="-3"/>
                <w:sz w:val="22"/>
                <w:lang w:val="en-US"/>
              </w:rPr>
            </w:pPr>
            <w:r>
              <w:rPr>
                <w:rFonts w:ascii="Arial Mäori" w:hAnsi="Arial Mäori" w:cs="Arial Mäori"/>
                <w:b/>
                <w:spacing w:val="-3"/>
                <w:sz w:val="22"/>
                <w:lang w:val="en-US"/>
              </w:rPr>
              <w:t>PART 1:  Key Functions</w:t>
            </w:r>
          </w:p>
        </w:tc>
        <w:tc>
          <w:tcPr>
            <w:tcW w:w="1418" w:type="dxa"/>
          </w:tcPr>
          <w:p w:rsidR="003B6A8C" w:rsidRPr="00C5297A" w:rsidRDefault="003B6A8C" w:rsidP="003E07AA">
            <w:pPr>
              <w:rPr>
                <w:rFonts w:ascii="Arial Mäori" w:hAnsi="Arial Mäori" w:cs="Arial Mäori"/>
                <w:i/>
                <w:iCs/>
                <w:color w:val="FF0000"/>
                <w:sz w:val="18"/>
              </w:rPr>
            </w:pPr>
          </w:p>
        </w:tc>
      </w:tr>
      <w:tr w:rsidR="004970D6" w:rsidRPr="00C5297A" w:rsidTr="003E07AA">
        <w:tc>
          <w:tcPr>
            <w:tcW w:w="959" w:type="dxa"/>
          </w:tcPr>
          <w:p w:rsidR="004970D6" w:rsidRPr="00C5297A" w:rsidRDefault="003B6A8C" w:rsidP="00F92C6A">
            <w:pPr>
              <w:spacing w:before="120" w:after="120"/>
              <w:rPr>
                <w:rFonts w:ascii="Arial Mäori" w:hAnsi="Arial Mäori" w:cs="Arial Mäori"/>
                <w:spacing w:val="-3"/>
                <w:sz w:val="22"/>
                <w:lang w:val="en-US"/>
              </w:rPr>
            </w:pPr>
            <w:r>
              <w:rPr>
                <w:rFonts w:ascii="Arial Mäori" w:hAnsi="Arial Mäori" w:cs="Arial Mäori"/>
                <w:spacing w:val="-3"/>
                <w:sz w:val="22"/>
                <w:lang w:val="en-US"/>
              </w:rPr>
              <w:t>1.1</w:t>
            </w:r>
          </w:p>
        </w:tc>
        <w:tc>
          <w:tcPr>
            <w:tcW w:w="6662" w:type="dxa"/>
          </w:tcPr>
          <w:p w:rsidR="004970D6" w:rsidRPr="00C5297A" w:rsidRDefault="005E2671" w:rsidP="00F92C6A">
            <w:pPr>
              <w:tabs>
                <w:tab w:val="left" w:pos="-1440"/>
                <w:tab w:val="left" w:pos="-720"/>
                <w:tab w:val="left" w:pos="0"/>
                <w:tab w:val="left" w:pos="720"/>
                <w:tab w:val="left" w:pos="1224"/>
                <w:tab w:val="left" w:pos="2358"/>
                <w:tab w:val="left" w:pos="2880"/>
              </w:tabs>
              <w:suppressAutoHyphens/>
              <w:spacing w:before="120" w:after="120"/>
              <w:ind w:left="720" w:hanging="720"/>
              <w:jc w:val="both"/>
              <w:rPr>
                <w:rFonts w:ascii="Arial Mäori" w:hAnsi="Arial Mäori" w:cs="Arial Mäori"/>
                <w:spacing w:val="-3"/>
                <w:sz w:val="22"/>
                <w:lang w:val="en-US"/>
              </w:rPr>
            </w:pPr>
            <w:r>
              <w:rPr>
                <w:rFonts w:ascii="Arial Mäori" w:hAnsi="Arial Mäori" w:cs="Arial Mäori"/>
                <w:b/>
                <w:spacing w:val="-3"/>
                <w:sz w:val="22"/>
                <w:lang w:val="en-US"/>
              </w:rPr>
              <w:t>Proactive profiling to society</w:t>
            </w:r>
          </w:p>
        </w:tc>
        <w:tc>
          <w:tcPr>
            <w:tcW w:w="1418" w:type="dxa"/>
          </w:tcPr>
          <w:p w:rsidR="004970D6" w:rsidRPr="00C5297A" w:rsidRDefault="004970D6" w:rsidP="003E07AA">
            <w:pPr>
              <w:rPr>
                <w:rFonts w:ascii="Arial Mäori" w:hAnsi="Arial Mäori" w:cs="Arial Mäori"/>
                <w:i/>
                <w:iCs/>
                <w:sz w:val="18"/>
              </w:rPr>
            </w:pPr>
          </w:p>
        </w:tc>
      </w:tr>
      <w:tr w:rsidR="004970D6" w:rsidRPr="00C5297A" w:rsidTr="003E07AA">
        <w:tc>
          <w:tcPr>
            <w:tcW w:w="959" w:type="dxa"/>
          </w:tcPr>
          <w:p w:rsidR="004970D6" w:rsidRPr="00C5297A" w:rsidRDefault="004970D6" w:rsidP="003E07AA">
            <w:pPr>
              <w:rPr>
                <w:rFonts w:ascii="Arial Mäori" w:hAnsi="Arial Mäori" w:cs="Arial Mäori"/>
                <w:spacing w:val="-3"/>
                <w:sz w:val="22"/>
                <w:lang w:val="en-US"/>
              </w:rPr>
            </w:pPr>
          </w:p>
        </w:tc>
        <w:tc>
          <w:tcPr>
            <w:tcW w:w="6662" w:type="dxa"/>
          </w:tcPr>
          <w:p w:rsidR="004970D6" w:rsidRPr="00C5297A" w:rsidRDefault="005E2671" w:rsidP="00AA577D">
            <w:pPr>
              <w:tabs>
                <w:tab w:val="left" w:pos="-1440"/>
                <w:tab w:val="left" w:pos="-720"/>
                <w:tab w:val="left" w:pos="0"/>
                <w:tab w:val="left" w:pos="9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The ACMO will proactively seek opportunities to profile this Church to the wider society by monitoring and, where appropriate, promoting Anglican Church mission in Aotearoa New Zealand and Polynesia.</w:t>
            </w:r>
          </w:p>
        </w:tc>
        <w:tc>
          <w:tcPr>
            <w:tcW w:w="1418" w:type="dxa"/>
          </w:tcPr>
          <w:p w:rsidR="004970D6" w:rsidRPr="00C5297A" w:rsidRDefault="004970D6" w:rsidP="003E07AA">
            <w:pPr>
              <w:rPr>
                <w:rFonts w:ascii="Arial Mäori" w:hAnsi="Arial Mäori" w:cs="Arial Mäori"/>
                <w:i/>
                <w:iCs/>
                <w:sz w:val="18"/>
              </w:rPr>
            </w:pPr>
          </w:p>
        </w:tc>
      </w:tr>
      <w:tr w:rsidR="004970D6" w:rsidRPr="00C5297A" w:rsidTr="003E07AA">
        <w:tc>
          <w:tcPr>
            <w:tcW w:w="959" w:type="dxa"/>
          </w:tcPr>
          <w:p w:rsidR="004970D6" w:rsidRPr="00C5297A" w:rsidRDefault="00F92C6A" w:rsidP="00F92C6A">
            <w:pPr>
              <w:spacing w:before="120"/>
              <w:rPr>
                <w:rFonts w:ascii="Arial Mäori" w:hAnsi="Arial Mäori" w:cs="Arial Mäori"/>
                <w:spacing w:val="-3"/>
                <w:sz w:val="22"/>
                <w:lang w:val="en-US"/>
              </w:rPr>
            </w:pPr>
            <w:r>
              <w:rPr>
                <w:rFonts w:ascii="Arial Mäori" w:hAnsi="Arial Mäori" w:cs="Arial Mäori"/>
                <w:spacing w:val="-3"/>
                <w:sz w:val="22"/>
                <w:lang w:val="en-US"/>
              </w:rPr>
              <w:t>1.2</w:t>
            </w:r>
          </w:p>
        </w:tc>
        <w:tc>
          <w:tcPr>
            <w:tcW w:w="6662" w:type="dxa"/>
          </w:tcPr>
          <w:p w:rsidR="004970D6" w:rsidRPr="00C5297A" w:rsidRDefault="00F92C6A" w:rsidP="00F92C6A">
            <w:pPr>
              <w:tabs>
                <w:tab w:val="left" w:pos="-1440"/>
                <w:tab w:val="left" w:pos="-720"/>
                <w:tab w:val="left" w:pos="0"/>
                <w:tab w:val="left" w:pos="720"/>
                <w:tab w:val="left" w:pos="1224"/>
                <w:tab w:val="left" w:pos="2358"/>
                <w:tab w:val="left" w:pos="2880"/>
              </w:tabs>
              <w:suppressAutoHyphens/>
              <w:spacing w:before="120" w:after="120"/>
              <w:jc w:val="both"/>
              <w:rPr>
                <w:rFonts w:ascii="Arial Mäori" w:hAnsi="Arial Mäori" w:cs="Arial Mäori"/>
                <w:spacing w:val="-3"/>
                <w:sz w:val="22"/>
                <w:lang w:val="en-US"/>
              </w:rPr>
            </w:pPr>
            <w:r>
              <w:rPr>
                <w:rFonts w:ascii="Arial Mäori" w:hAnsi="Arial Mäori" w:cs="Arial Mäori"/>
                <w:b/>
                <w:spacing w:val="-3"/>
                <w:sz w:val="22"/>
                <w:lang w:val="en-US"/>
              </w:rPr>
              <w:t>Media Liaison</w:t>
            </w:r>
          </w:p>
        </w:tc>
        <w:tc>
          <w:tcPr>
            <w:tcW w:w="1418" w:type="dxa"/>
          </w:tcPr>
          <w:p w:rsidR="004970D6" w:rsidRPr="00C5297A" w:rsidRDefault="004970D6" w:rsidP="003E07AA">
            <w:pPr>
              <w:rPr>
                <w:rFonts w:ascii="Arial Mäori" w:hAnsi="Arial Mäori" w:cs="Arial Mäori"/>
                <w:i/>
                <w:iCs/>
                <w:sz w:val="18"/>
              </w:rPr>
            </w:pPr>
          </w:p>
        </w:tc>
      </w:tr>
      <w:tr w:rsidR="004970D6" w:rsidRPr="00C5297A" w:rsidTr="003E07AA">
        <w:tc>
          <w:tcPr>
            <w:tcW w:w="959" w:type="dxa"/>
          </w:tcPr>
          <w:p w:rsidR="004970D6" w:rsidRPr="00C5297A" w:rsidRDefault="004970D6" w:rsidP="003E07AA">
            <w:pPr>
              <w:rPr>
                <w:rFonts w:ascii="Arial Mäori" w:hAnsi="Arial Mäori" w:cs="Arial Mäori"/>
                <w:spacing w:val="-3"/>
                <w:sz w:val="22"/>
                <w:lang w:val="en-US"/>
              </w:rPr>
            </w:pPr>
          </w:p>
        </w:tc>
        <w:tc>
          <w:tcPr>
            <w:tcW w:w="6662" w:type="dxa"/>
          </w:tcPr>
          <w:p w:rsidR="004970D6" w:rsidRPr="00C5297A" w:rsidRDefault="00F92C6A" w:rsidP="005F0E78">
            <w:pPr>
              <w:tabs>
                <w:tab w:val="left" w:pos="-1440"/>
                <w:tab w:val="left" w:pos="-720"/>
                <w:tab w:val="left" w:pos="0"/>
                <w:tab w:val="left" w:pos="122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 xml:space="preserve">The ACMO will provide media liaison services to </w:t>
            </w:r>
            <w:r w:rsidR="00964A3C" w:rsidRPr="00C5297A">
              <w:rPr>
                <w:rFonts w:ascii="Arial Mäori" w:hAnsi="Arial Mäori" w:cs="Arial Mäori"/>
                <w:spacing w:val="-3"/>
                <w:sz w:val="22"/>
                <w:lang w:val="en-US"/>
              </w:rPr>
              <w:t xml:space="preserve">General </w:t>
            </w:r>
            <w:r w:rsidR="00964A3C">
              <w:rPr>
                <w:rFonts w:ascii="Arial Mäori" w:hAnsi="Arial Mäori" w:cs="Arial Mäori"/>
                <w:spacing w:val="-3"/>
                <w:sz w:val="22"/>
                <w:lang w:val="en-US"/>
              </w:rPr>
              <w:br/>
            </w:r>
            <w:r w:rsidR="00964A3C" w:rsidRPr="00C5297A">
              <w:rPr>
                <w:rFonts w:ascii="Arial Mäori" w:hAnsi="Arial Mäori" w:cs="Arial Mäori"/>
                <w:spacing w:val="-3"/>
                <w:sz w:val="22"/>
                <w:lang w:val="en-US"/>
              </w:rPr>
              <w:t>Synod / te Hīnota Whānui</w:t>
            </w:r>
            <w:r w:rsidR="00964A3C">
              <w:rPr>
                <w:rFonts w:ascii="Arial Mäori" w:hAnsi="Arial Mäori" w:cs="Arial Mäori"/>
                <w:spacing w:val="-3"/>
                <w:sz w:val="22"/>
                <w:lang w:val="en-US"/>
              </w:rPr>
              <w:t>, the General Synod Standing Committee, the Office of the Primate, and the House of Bishops, and, on the basis of contracts for service, other Anglican Church entities.</w:t>
            </w:r>
          </w:p>
        </w:tc>
        <w:tc>
          <w:tcPr>
            <w:tcW w:w="1418" w:type="dxa"/>
          </w:tcPr>
          <w:p w:rsidR="004970D6" w:rsidRPr="00C5297A" w:rsidRDefault="004970D6" w:rsidP="003E07AA">
            <w:pPr>
              <w:rPr>
                <w:rFonts w:ascii="Arial Mäori" w:hAnsi="Arial Mäori" w:cs="Arial Mäori"/>
                <w:i/>
                <w:iCs/>
                <w:color w:val="FF0000"/>
                <w:sz w:val="18"/>
              </w:rPr>
            </w:pPr>
          </w:p>
        </w:tc>
      </w:tr>
      <w:tr w:rsidR="004970D6" w:rsidRPr="00C5297A" w:rsidTr="003E07AA">
        <w:tc>
          <w:tcPr>
            <w:tcW w:w="959" w:type="dxa"/>
          </w:tcPr>
          <w:p w:rsidR="004970D6" w:rsidRPr="00C5297A" w:rsidRDefault="004970D6" w:rsidP="003E07AA">
            <w:pPr>
              <w:rPr>
                <w:rFonts w:ascii="Arial Mäori" w:hAnsi="Arial Mäori" w:cs="Arial Mäori"/>
                <w:spacing w:val="-3"/>
                <w:sz w:val="22"/>
                <w:lang w:val="en-US"/>
              </w:rPr>
            </w:pPr>
          </w:p>
        </w:tc>
        <w:tc>
          <w:tcPr>
            <w:tcW w:w="6662" w:type="dxa"/>
          </w:tcPr>
          <w:p w:rsidR="004970D6" w:rsidRPr="00C5297A" w:rsidRDefault="005F0E78" w:rsidP="00334D6D">
            <w:pPr>
              <w:tabs>
                <w:tab w:val="left" w:pos="-1440"/>
                <w:tab w:val="left" w:pos="-720"/>
                <w:tab w:val="left" w:pos="0"/>
                <w:tab w:val="left" w:pos="1224"/>
                <w:tab w:val="left" w:pos="2358"/>
                <w:tab w:val="left" w:pos="2880"/>
              </w:tabs>
              <w:suppressAutoHyphens/>
              <w:spacing w:after="120"/>
              <w:jc w:val="both"/>
              <w:rPr>
                <w:rFonts w:ascii="Arial Mäori" w:hAnsi="Arial Mäori" w:cs="Arial Mäori"/>
                <w:spacing w:val="-3"/>
                <w:sz w:val="22"/>
                <w:lang w:val="en-US"/>
              </w:rPr>
            </w:pPr>
            <w:r>
              <w:rPr>
                <w:rFonts w:ascii="Arial Mäori" w:hAnsi="Arial Mäori" w:cs="Arial Mäori"/>
                <w:spacing w:val="-3"/>
                <w:sz w:val="22"/>
                <w:lang w:val="en-US"/>
              </w:rPr>
              <w:t xml:space="preserve">The ACMO will be responsible for providing media release support to </w:t>
            </w:r>
            <w:r w:rsidRPr="00C5297A">
              <w:rPr>
                <w:rFonts w:ascii="Arial Mäori" w:hAnsi="Arial Mäori" w:cs="Arial Mäori"/>
                <w:spacing w:val="-3"/>
                <w:sz w:val="22"/>
                <w:lang w:val="en-US"/>
              </w:rPr>
              <w:t>General Synod / te Hīnota Whānui</w:t>
            </w:r>
            <w:r>
              <w:rPr>
                <w:rFonts w:ascii="Arial Mäori" w:hAnsi="Arial Mäori" w:cs="Arial Mäori"/>
                <w:spacing w:val="-3"/>
                <w:sz w:val="22"/>
                <w:lang w:val="en-US"/>
              </w:rPr>
              <w:t xml:space="preserve">, the General Synod Standing Committee, the Office of the Primate, and the House of Bishops, and, on the basis of contracts for service, other Anglican Church entities. </w:t>
            </w:r>
          </w:p>
        </w:tc>
        <w:tc>
          <w:tcPr>
            <w:tcW w:w="1418" w:type="dxa"/>
          </w:tcPr>
          <w:p w:rsidR="004970D6" w:rsidRPr="00C5297A" w:rsidRDefault="004970D6" w:rsidP="003E07AA">
            <w:pPr>
              <w:rPr>
                <w:rFonts w:ascii="Arial Mäori" w:hAnsi="Arial Mäori" w:cs="Arial Mäori"/>
                <w:i/>
                <w:iCs/>
                <w:color w:val="FF0000"/>
                <w:sz w:val="18"/>
              </w:rPr>
            </w:pPr>
          </w:p>
        </w:tc>
      </w:tr>
      <w:tr w:rsidR="004970D6" w:rsidRPr="00C5297A" w:rsidTr="003E07AA">
        <w:tc>
          <w:tcPr>
            <w:tcW w:w="959" w:type="dxa"/>
          </w:tcPr>
          <w:p w:rsidR="004970D6" w:rsidRPr="00C5297A" w:rsidRDefault="00334D6D" w:rsidP="00334D6D">
            <w:pPr>
              <w:spacing w:before="120" w:after="120"/>
              <w:rPr>
                <w:rFonts w:ascii="Arial Mäori" w:hAnsi="Arial Mäori" w:cs="Arial Mäori"/>
                <w:spacing w:val="-3"/>
                <w:sz w:val="22"/>
                <w:lang w:val="en-US"/>
              </w:rPr>
            </w:pPr>
            <w:r>
              <w:rPr>
                <w:rFonts w:ascii="Arial Mäori" w:hAnsi="Arial Mäori" w:cs="Arial Mäori"/>
                <w:spacing w:val="-3"/>
                <w:sz w:val="22"/>
                <w:lang w:val="en-US"/>
              </w:rPr>
              <w:t>1.</w:t>
            </w:r>
            <w:r w:rsidR="004970D6" w:rsidRPr="00C5297A">
              <w:rPr>
                <w:rFonts w:ascii="Arial Mäori" w:hAnsi="Arial Mäori" w:cs="Arial Mäori"/>
                <w:spacing w:val="-3"/>
                <w:sz w:val="22"/>
                <w:lang w:val="en-US"/>
              </w:rPr>
              <w:t>3</w:t>
            </w:r>
          </w:p>
        </w:tc>
        <w:tc>
          <w:tcPr>
            <w:tcW w:w="6662" w:type="dxa"/>
          </w:tcPr>
          <w:p w:rsidR="004970D6" w:rsidRPr="00334D6D" w:rsidRDefault="00334D6D" w:rsidP="00334D6D">
            <w:pPr>
              <w:tabs>
                <w:tab w:val="left" w:pos="-1440"/>
                <w:tab w:val="left" w:pos="-720"/>
                <w:tab w:val="left" w:pos="0"/>
                <w:tab w:val="left" w:pos="720"/>
                <w:tab w:val="left" w:pos="1224"/>
                <w:tab w:val="left" w:pos="2358"/>
                <w:tab w:val="left" w:pos="2880"/>
              </w:tabs>
              <w:suppressAutoHyphens/>
              <w:spacing w:before="120" w:after="120"/>
              <w:jc w:val="both"/>
              <w:rPr>
                <w:rFonts w:ascii="Arial Mäori" w:hAnsi="Arial Mäori" w:cs="Arial Mäori"/>
                <w:b/>
                <w:spacing w:val="-3"/>
                <w:sz w:val="22"/>
                <w:lang w:val="en-US"/>
              </w:rPr>
            </w:pPr>
            <w:r>
              <w:rPr>
                <w:rFonts w:ascii="Arial Mäori" w:hAnsi="Arial Mäori" w:cs="Arial Mäori"/>
                <w:b/>
                <w:spacing w:val="-3"/>
                <w:sz w:val="22"/>
                <w:lang w:val="en-US"/>
              </w:rPr>
              <w:t>Internal Communications</w:t>
            </w:r>
          </w:p>
        </w:tc>
        <w:tc>
          <w:tcPr>
            <w:tcW w:w="1418" w:type="dxa"/>
          </w:tcPr>
          <w:p w:rsidR="004970D6" w:rsidRPr="00C5297A" w:rsidRDefault="004970D6" w:rsidP="003E07AA">
            <w:pPr>
              <w:rPr>
                <w:rFonts w:ascii="Arial Mäori" w:hAnsi="Arial Mäori" w:cs="Arial Mäori"/>
                <w:i/>
                <w:iCs/>
                <w:sz w:val="18"/>
              </w:rPr>
            </w:pPr>
          </w:p>
        </w:tc>
      </w:tr>
      <w:tr w:rsidR="00334D6D" w:rsidRPr="00C5297A" w:rsidTr="003E07AA">
        <w:tc>
          <w:tcPr>
            <w:tcW w:w="959" w:type="dxa"/>
          </w:tcPr>
          <w:p w:rsidR="00334D6D" w:rsidRPr="00C5297A" w:rsidRDefault="00334D6D" w:rsidP="003E07AA">
            <w:pPr>
              <w:rPr>
                <w:rFonts w:ascii="Arial Mäori" w:hAnsi="Arial Mäori" w:cs="Arial Mäori"/>
                <w:spacing w:val="-3"/>
                <w:sz w:val="22"/>
                <w:lang w:val="en-US"/>
              </w:rPr>
            </w:pPr>
          </w:p>
        </w:tc>
        <w:tc>
          <w:tcPr>
            <w:tcW w:w="6662" w:type="dxa"/>
          </w:tcPr>
          <w:p w:rsidR="001E4B02" w:rsidRPr="00C5297A" w:rsidRDefault="001E4B02" w:rsidP="003E07AA">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The ACMO will be responsible for up-to-date, accurate and relevant internal communication advice, along with Anglican Taonga web and print postings and articles.</w:t>
            </w:r>
          </w:p>
        </w:tc>
        <w:tc>
          <w:tcPr>
            <w:tcW w:w="1418" w:type="dxa"/>
          </w:tcPr>
          <w:p w:rsidR="00334D6D" w:rsidRPr="00C5297A" w:rsidRDefault="00334D6D" w:rsidP="003E07AA">
            <w:pPr>
              <w:rPr>
                <w:rFonts w:ascii="Arial Mäori" w:hAnsi="Arial Mäori" w:cs="Arial Mäori"/>
                <w:i/>
                <w:iCs/>
                <w:sz w:val="18"/>
              </w:rPr>
            </w:pPr>
          </w:p>
        </w:tc>
      </w:tr>
      <w:tr w:rsidR="003D7E42" w:rsidRPr="00C5297A" w:rsidTr="003E07AA">
        <w:tc>
          <w:tcPr>
            <w:tcW w:w="959" w:type="dxa"/>
          </w:tcPr>
          <w:p w:rsidR="003D7E42" w:rsidRDefault="003D7E42" w:rsidP="003D7E42">
            <w:pPr>
              <w:spacing w:before="120" w:after="120"/>
              <w:rPr>
                <w:rFonts w:ascii="Arial Mäori" w:hAnsi="Arial Mäori" w:cs="Arial Mäori"/>
                <w:spacing w:val="-3"/>
                <w:sz w:val="22"/>
                <w:lang w:val="en-US"/>
              </w:rPr>
            </w:pPr>
            <w:r>
              <w:rPr>
                <w:rFonts w:ascii="Arial Mäori" w:hAnsi="Arial Mäori" w:cs="Arial Mäori"/>
                <w:spacing w:val="-3"/>
                <w:sz w:val="22"/>
                <w:lang w:val="en-US"/>
              </w:rPr>
              <w:t>1.4</w:t>
            </w:r>
          </w:p>
        </w:tc>
        <w:tc>
          <w:tcPr>
            <w:tcW w:w="6662" w:type="dxa"/>
          </w:tcPr>
          <w:p w:rsidR="003D7E42" w:rsidRPr="003D7E42" w:rsidRDefault="003D7E42" w:rsidP="003D7E42">
            <w:pPr>
              <w:tabs>
                <w:tab w:val="left" w:pos="-1440"/>
                <w:tab w:val="left" w:pos="-720"/>
                <w:tab w:val="left" w:pos="0"/>
                <w:tab w:val="left" w:pos="720"/>
                <w:tab w:val="left" w:pos="1224"/>
                <w:tab w:val="left" w:pos="2358"/>
                <w:tab w:val="left" w:pos="2880"/>
              </w:tabs>
              <w:suppressAutoHyphens/>
              <w:spacing w:before="120" w:after="120"/>
              <w:jc w:val="both"/>
              <w:rPr>
                <w:rFonts w:ascii="Arial Mäori" w:hAnsi="Arial Mäori" w:cs="Arial Mäori"/>
                <w:b/>
                <w:spacing w:val="-3"/>
                <w:sz w:val="22"/>
                <w:lang w:val="en-US"/>
              </w:rPr>
            </w:pPr>
            <w:r>
              <w:rPr>
                <w:rFonts w:ascii="Arial Mäori" w:hAnsi="Arial Mäori" w:cs="Arial Mäori"/>
                <w:b/>
                <w:spacing w:val="-3"/>
                <w:sz w:val="22"/>
                <w:lang w:val="en-US"/>
              </w:rPr>
              <w:t>Internal Accountability</w:t>
            </w:r>
          </w:p>
        </w:tc>
        <w:tc>
          <w:tcPr>
            <w:tcW w:w="1418" w:type="dxa"/>
          </w:tcPr>
          <w:p w:rsidR="003D7E42" w:rsidRDefault="003D7E42" w:rsidP="003D7E42">
            <w:pPr>
              <w:spacing w:before="120" w:after="120"/>
              <w:rPr>
                <w:rFonts w:ascii="Arial Mäori" w:hAnsi="Arial Mäori" w:cs="Arial Mäori"/>
                <w:i/>
                <w:iCs/>
                <w:sz w:val="18"/>
              </w:rPr>
            </w:pPr>
          </w:p>
        </w:tc>
      </w:tr>
      <w:tr w:rsidR="004970D6" w:rsidRPr="00C5297A" w:rsidTr="003E07AA">
        <w:tc>
          <w:tcPr>
            <w:tcW w:w="959" w:type="dxa"/>
          </w:tcPr>
          <w:p w:rsidR="004970D6" w:rsidRPr="00C5297A" w:rsidRDefault="004970D6" w:rsidP="003E07AA">
            <w:pPr>
              <w:rPr>
                <w:rFonts w:ascii="Arial Mäori" w:hAnsi="Arial Mäori" w:cs="Arial Mäori"/>
                <w:spacing w:val="-3"/>
                <w:sz w:val="22"/>
                <w:lang w:val="en-US"/>
              </w:rPr>
            </w:pPr>
          </w:p>
        </w:tc>
        <w:tc>
          <w:tcPr>
            <w:tcW w:w="6662" w:type="dxa"/>
          </w:tcPr>
          <w:p w:rsidR="004970D6" w:rsidRPr="00C5297A" w:rsidRDefault="003D7E42" w:rsidP="003E07AA">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The ACMO will work on the principle of full disclosure of information within any legal constraints and with a concern for providing disclosure in a way that protects the integrity of the </w:t>
            </w:r>
            <w:r w:rsidR="00C35A7A" w:rsidRPr="00C5297A">
              <w:rPr>
                <w:rFonts w:ascii="Arial Mäori" w:hAnsi="Arial Mäori" w:cs="Arial Mäori"/>
                <w:spacing w:val="-3"/>
                <w:sz w:val="22"/>
                <w:lang w:val="en-US"/>
              </w:rPr>
              <w:t>General Synod / te Hīnota Whānui</w:t>
            </w:r>
            <w:r w:rsidR="00C35A7A">
              <w:rPr>
                <w:rFonts w:ascii="Arial Mäori" w:hAnsi="Arial Mäori" w:cs="Arial Mäori"/>
                <w:spacing w:val="-3"/>
                <w:sz w:val="22"/>
                <w:lang w:val="en-US"/>
              </w:rPr>
              <w:t>, the General Synod Standing Committee, the Office of the Primate, and the House of Bishops, and, on the basis of contracts for service, other Anglican Church entity for which the ACMO is acting.</w:t>
            </w:r>
          </w:p>
        </w:tc>
        <w:tc>
          <w:tcPr>
            <w:tcW w:w="1418" w:type="dxa"/>
          </w:tcPr>
          <w:p w:rsidR="004970D6" w:rsidRPr="00C5297A" w:rsidRDefault="004970D6" w:rsidP="003E07AA">
            <w:pPr>
              <w:rPr>
                <w:rFonts w:ascii="Arial Mäori" w:hAnsi="Arial Mäori" w:cs="Arial Mäori"/>
                <w:i/>
                <w:iCs/>
                <w:sz w:val="18"/>
              </w:rPr>
            </w:pPr>
          </w:p>
        </w:tc>
      </w:tr>
      <w:tr w:rsidR="004970D6" w:rsidRPr="00C5297A" w:rsidTr="003E07AA">
        <w:tc>
          <w:tcPr>
            <w:tcW w:w="959" w:type="dxa"/>
          </w:tcPr>
          <w:p w:rsidR="004970D6" w:rsidRPr="00C5297A" w:rsidRDefault="00C35A7A" w:rsidP="006E124A">
            <w:pPr>
              <w:spacing w:before="120" w:after="120"/>
              <w:rPr>
                <w:rFonts w:ascii="Arial Mäori" w:hAnsi="Arial Mäori" w:cs="Arial Mäori"/>
                <w:spacing w:val="-3"/>
                <w:sz w:val="22"/>
                <w:lang w:val="en-US"/>
              </w:rPr>
            </w:pPr>
            <w:r>
              <w:rPr>
                <w:rFonts w:ascii="Arial Mäori" w:hAnsi="Arial Mäori" w:cs="Arial Mäori"/>
                <w:spacing w:val="-3"/>
                <w:sz w:val="22"/>
                <w:lang w:val="en-US"/>
              </w:rPr>
              <w:t>1.5</w:t>
            </w:r>
          </w:p>
        </w:tc>
        <w:tc>
          <w:tcPr>
            <w:tcW w:w="6662" w:type="dxa"/>
          </w:tcPr>
          <w:p w:rsidR="004970D6" w:rsidRPr="006E124A" w:rsidRDefault="006E124A" w:rsidP="006E124A">
            <w:pPr>
              <w:tabs>
                <w:tab w:val="left" w:pos="-1440"/>
                <w:tab w:val="left" w:pos="-720"/>
                <w:tab w:val="left" w:pos="0"/>
                <w:tab w:val="left" w:pos="720"/>
                <w:tab w:val="left" w:pos="1224"/>
                <w:tab w:val="left" w:pos="2358"/>
                <w:tab w:val="left" w:pos="2880"/>
              </w:tabs>
              <w:suppressAutoHyphens/>
              <w:spacing w:before="120" w:after="120"/>
              <w:jc w:val="both"/>
              <w:rPr>
                <w:rFonts w:ascii="Arial Mäori" w:hAnsi="Arial Mäori" w:cs="Arial Mäori"/>
                <w:b/>
                <w:spacing w:val="-3"/>
                <w:sz w:val="22"/>
                <w:lang w:val="en-US"/>
              </w:rPr>
            </w:pPr>
            <w:r>
              <w:rPr>
                <w:rFonts w:ascii="Arial Mäori" w:hAnsi="Arial Mäori" w:cs="Arial Mäori"/>
                <w:b/>
                <w:spacing w:val="-3"/>
                <w:sz w:val="22"/>
                <w:lang w:val="en-US"/>
              </w:rPr>
              <w:t>Strategic Communications and Media Advice Services</w:t>
            </w:r>
          </w:p>
        </w:tc>
        <w:tc>
          <w:tcPr>
            <w:tcW w:w="1418" w:type="dxa"/>
          </w:tcPr>
          <w:p w:rsidR="004970D6" w:rsidRPr="00C5297A" w:rsidRDefault="004970D6" w:rsidP="006E124A">
            <w:pPr>
              <w:spacing w:before="120" w:after="120"/>
              <w:rPr>
                <w:rFonts w:ascii="Arial Mäori" w:hAnsi="Arial Mäori" w:cs="Arial Mäori"/>
                <w:i/>
                <w:iCs/>
                <w:color w:val="FF0000"/>
                <w:sz w:val="18"/>
              </w:rPr>
            </w:pPr>
          </w:p>
        </w:tc>
      </w:tr>
      <w:tr w:rsidR="00C35A7A" w:rsidRPr="00C5297A" w:rsidTr="003E07AA">
        <w:tc>
          <w:tcPr>
            <w:tcW w:w="959" w:type="dxa"/>
          </w:tcPr>
          <w:p w:rsidR="00C35A7A" w:rsidRPr="00C5297A" w:rsidRDefault="00C35A7A" w:rsidP="003E07AA">
            <w:pPr>
              <w:rPr>
                <w:rFonts w:ascii="Arial Mäori" w:hAnsi="Arial Mäori" w:cs="Arial Mäori"/>
                <w:spacing w:val="-3"/>
                <w:sz w:val="22"/>
                <w:lang w:val="en-US"/>
              </w:rPr>
            </w:pPr>
          </w:p>
        </w:tc>
        <w:tc>
          <w:tcPr>
            <w:tcW w:w="6662" w:type="dxa"/>
          </w:tcPr>
          <w:p w:rsidR="00C35A7A" w:rsidRPr="00C5297A" w:rsidRDefault="006E124A" w:rsidP="006E124A">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sz w:val="22"/>
                <w:lang w:val="en-US"/>
              </w:rPr>
            </w:pPr>
            <w:r>
              <w:rPr>
                <w:rFonts w:ascii="Arial Mäori" w:hAnsi="Arial Mäori" w:cs="Arial Mäori"/>
                <w:spacing w:val="-3"/>
                <w:sz w:val="22"/>
                <w:lang w:val="en-US"/>
              </w:rPr>
              <w:t xml:space="preserve">The ACMO will provide strategic communications and media advice services to </w:t>
            </w:r>
            <w:r w:rsidRPr="00C5297A">
              <w:rPr>
                <w:rFonts w:ascii="Arial Mäori" w:hAnsi="Arial Mäori" w:cs="Arial Mäori"/>
                <w:spacing w:val="-3"/>
                <w:sz w:val="22"/>
                <w:lang w:val="en-US"/>
              </w:rPr>
              <w:t>General Synod / te Hīnota Whānui</w:t>
            </w:r>
            <w:r>
              <w:rPr>
                <w:rFonts w:ascii="Arial Mäori" w:hAnsi="Arial Mäori" w:cs="Arial Mäori"/>
                <w:spacing w:val="-3"/>
                <w:sz w:val="22"/>
                <w:lang w:val="en-US"/>
              </w:rPr>
              <w:t>, the General Synod Standing Committee, the Office of the Primate, and the House of Bishops, and, on the basis of contracts for service, other Anglican Church entities.</w:t>
            </w:r>
          </w:p>
        </w:tc>
        <w:tc>
          <w:tcPr>
            <w:tcW w:w="1418" w:type="dxa"/>
          </w:tcPr>
          <w:p w:rsidR="00C35A7A" w:rsidRPr="00C5297A" w:rsidRDefault="00C35A7A" w:rsidP="003E07AA">
            <w:pPr>
              <w:rPr>
                <w:rFonts w:ascii="Arial Mäori" w:hAnsi="Arial Mäori" w:cs="Arial Mäori"/>
                <w:i/>
                <w:iCs/>
                <w:sz w:val="18"/>
              </w:rPr>
            </w:pPr>
          </w:p>
        </w:tc>
      </w:tr>
    </w:tbl>
    <w:p w:rsidR="00B21974" w:rsidRDefault="00B21974">
      <w:r>
        <w:br w:type="page"/>
      </w:r>
    </w:p>
    <w:tbl>
      <w:tblPr>
        <w:tblW w:w="9039" w:type="dxa"/>
        <w:tblLayout w:type="fixed"/>
        <w:tblLook w:val="0000" w:firstRow="0" w:lastRow="0" w:firstColumn="0" w:lastColumn="0" w:noHBand="0" w:noVBand="0"/>
      </w:tblPr>
      <w:tblGrid>
        <w:gridCol w:w="959"/>
        <w:gridCol w:w="6662"/>
        <w:gridCol w:w="1418"/>
      </w:tblGrid>
      <w:tr w:rsidR="00B11BBE" w:rsidRPr="00C5297A" w:rsidTr="003E07AA">
        <w:tc>
          <w:tcPr>
            <w:tcW w:w="959" w:type="dxa"/>
          </w:tcPr>
          <w:p w:rsidR="00B11BBE" w:rsidRPr="00C5297A" w:rsidRDefault="00BC729B" w:rsidP="00B01B0B">
            <w:pPr>
              <w:spacing w:before="120" w:after="120"/>
              <w:rPr>
                <w:rFonts w:ascii="Arial Mäori" w:hAnsi="Arial Mäori" w:cs="Arial Mäori"/>
                <w:spacing w:val="-3"/>
                <w:sz w:val="22"/>
                <w:lang w:val="en-US"/>
              </w:rPr>
            </w:pPr>
            <w:r>
              <w:rPr>
                <w:rFonts w:ascii="Arial Mäori" w:hAnsi="Arial Mäori" w:cs="Arial Mäori"/>
                <w:spacing w:val="-3"/>
                <w:sz w:val="22"/>
                <w:lang w:val="en-US"/>
              </w:rPr>
              <w:t>1.6</w:t>
            </w:r>
          </w:p>
        </w:tc>
        <w:tc>
          <w:tcPr>
            <w:tcW w:w="6662" w:type="dxa"/>
          </w:tcPr>
          <w:p w:rsidR="00B11BBE" w:rsidRPr="00C5297A" w:rsidRDefault="00B01B0B" w:rsidP="00B01B0B">
            <w:pPr>
              <w:tabs>
                <w:tab w:val="left" w:pos="-1440"/>
                <w:tab w:val="left" w:pos="-720"/>
                <w:tab w:val="left" w:pos="0"/>
                <w:tab w:val="left" w:pos="720"/>
                <w:tab w:val="left" w:pos="1224"/>
                <w:tab w:val="left" w:pos="2358"/>
                <w:tab w:val="left" w:pos="2880"/>
              </w:tabs>
              <w:suppressAutoHyphens/>
              <w:spacing w:before="120" w:after="120"/>
              <w:jc w:val="both"/>
              <w:rPr>
                <w:rFonts w:ascii="Arial Mäori" w:hAnsi="Arial Mäori" w:cs="Arial Mäori"/>
                <w:spacing w:val="-3"/>
                <w:sz w:val="22"/>
                <w:lang w:val="en-US"/>
              </w:rPr>
            </w:pPr>
            <w:r>
              <w:rPr>
                <w:rFonts w:ascii="Arial Mäori" w:hAnsi="Arial Mäori" w:cs="Arial Mäori"/>
                <w:b/>
                <w:spacing w:val="-3"/>
                <w:sz w:val="22"/>
                <w:lang w:val="en-US"/>
              </w:rPr>
              <w:t>Communications Education and Media Training</w:t>
            </w:r>
          </w:p>
        </w:tc>
        <w:tc>
          <w:tcPr>
            <w:tcW w:w="1418" w:type="dxa"/>
          </w:tcPr>
          <w:p w:rsidR="00B11BBE" w:rsidRPr="00C5297A" w:rsidRDefault="00B11BBE" w:rsidP="00B01B0B">
            <w:pPr>
              <w:spacing w:before="120" w:after="120"/>
              <w:rPr>
                <w:rFonts w:ascii="Arial Mäori" w:hAnsi="Arial Mäori" w:cs="Arial Mäori"/>
                <w:i/>
                <w:iCs/>
                <w:sz w:val="18"/>
              </w:rPr>
            </w:pPr>
          </w:p>
        </w:tc>
      </w:tr>
      <w:tr w:rsidR="00BC729B" w:rsidRPr="00C5297A" w:rsidTr="003E07AA">
        <w:tc>
          <w:tcPr>
            <w:tcW w:w="959" w:type="dxa"/>
          </w:tcPr>
          <w:p w:rsidR="00BC729B" w:rsidRPr="00C5297A" w:rsidRDefault="00BC729B" w:rsidP="003E07AA">
            <w:pPr>
              <w:rPr>
                <w:rFonts w:ascii="Arial Mäori" w:hAnsi="Arial Mäori" w:cs="Arial Mäori"/>
                <w:spacing w:val="-3"/>
                <w:sz w:val="22"/>
                <w:lang w:val="en-US"/>
              </w:rPr>
            </w:pPr>
          </w:p>
        </w:tc>
        <w:tc>
          <w:tcPr>
            <w:tcW w:w="6662" w:type="dxa"/>
          </w:tcPr>
          <w:p w:rsidR="00BC729B" w:rsidRPr="00C5297A" w:rsidRDefault="00B01B0B" w:rsidP="00B01B0B">
            <w:pPr>
              <w:spacing w:before="60" w:after="60"/>
              <w:jc w:val="both"/>
              <w:rPr>
                <w:rFonts w:ascii="Arial Mäori" w:hAnsi="Arial Mäori" w:cs="Arial Mäori"/>
                <w:color w:val="000000"/>
                <w:sz w:val="22"/>
              </w:rPr>
            </w:pPr>
            <w:r>
              <w:rPr>
                <w:rFonts w:ascii="Arial Mäori" w:hAnsi="Arial Mäori" w:cs="Arial Mäori"/>
                <w:color w:val="000000"/>
                <w:sz w:val="22"/>
              </w:rPr>
              <w:t>In conjunction with the College of St John the Evangelist the ACMO will develop communications and media training programmes within the College and for regional delivery.</w:t>
            </w:r>
          </w:p>
        </w:tc>
        <w:tc>
          <w:tcPr>
            <w:tcW w:w="1418" w:type="dxa"/>
          </w:tcPr>
          <w:p w:rsidR="00BC729B" w:rsidRDefault="00BC729B" w:rsidP="003E07AA">
            <w:pPr>
              <w:rPr>
                <w:rFonts w:ascii="Arial Mäori" w:hAnsi="Arial Mäori" w:cs="Arial Mäori"/>
                <w:i/>
                <w:iCs/>
                <w:sz w:val="18"/>
              </w:rPr>
            </w:pPr>
          </w:p>
          <w:p w:rsidR="008A1F57" w:rsidRPr="00C5297A" w:rsidRDefault="008A1F57" w:rsidP="003E07AA">
            <w:pPr>
              <w:rPr>
                <w:rFonts w:ascii="Arial Mäori" w:hAnsi="Arial Mäori" w:cs="Arial Mäori"/>
                <w:i/>
                <w:iCs/>
                <w:sz w:val="18"/>
              </w:rPr>
            </w:pPr>
          </w:p>
        </w:tc>
      </w:tr>
      <w:tr w:rsidR="00854758" w:rsidRPr="00C5297A" w:rsidTr="003E07AA">
        <w:tc>
          <w:tcPr>
            <w:tcW w:w="959" w:type="dxa"/>
          </w:tcPr>
          <w:p w:rsidR="00854758" w:rsidRPr="00C5297A" w:rsidRDefault="00854758" w:rsidP="00854758">
            <w:pPr>
              <w:spacing w:before="120" w:after="120"/>
              <w:rPr>
                <w:rFonts w:ascii="Arial Mäori" w:hAnsi="Arial Mäori" w:cs="Arial Mäori"/>
                <w:spacing w:val="-3"/>
                <w:sz w:val="22"/>
                <w:lang w:val="en-US"/>
              </w:rPr>
            </w:pPr>
            <w:r>
              <w:rPr>
                <w:rFonts w:ascii="Arial Mäori" w:hAnsi="Arial Mäori" w:cs="Arial Mäori"/>
                <w:spacing w:val="-3"/>
                <w:sz w:val="22"/>
                <w:lang w:val="en-US"/>
              </w:rPr>
              <w:t>1.7</w:t>
            </w:r>
          </w:p>
        </w:tc>
        <w:tc>
          <w:tcPr>
            <w:tcW w:w="6662" w:type="dxa"/>
          </w:tcPr>
          <w:p w:rsidR="00854758" w:rsidRPr="00854758" w:rsidRDefault="00854758" w:rsidP="00854758">
            <w:pPr>
              <w:spacing w:before="120" w:after="120"/>
              <w:jc w:val="both"/>
              <w:rPr>
                <w:rFonts w:ascii="Arial Mäori" w:hAnsi="Arial Mäori" w:cs="Arial Mäori"/>
                <w:b/>
                <w:spacing w:val="-3"/>
                <w:sz w:val="22"/>
                <w:lang w:val="en-US"/>
              </w:rPr>
            </w:pPr>
            <w:r>
              <w:rPr>
                <w:rFonts w:ascii="Arial Mäori" w:hAnsi="Arial Mäori" w:cs="Arial Mäori"/>
                <w:b/>
                <w:spacing w:val="-3"/>
                <w:sz w:val="22"/>
                <w:lang w:val="en-US"/>
              </w:rPr>
              <w:t>Consultancy</w:t>
            </w:r>
          </w:p>
        </w:tc>
        <w:tc>
          <w:tcPr>
            <w:tcW w:w="1418" w:type="dxa"/>
          </w:tcPr>
          <w:p w:rsidR="00854758" w:rsidRPr="00C5297A" w:rsidRDefault="00854758" w:rsidP="00854758">
            <w:pPr>
              <w:spacing w:before="120" w:after="120"/>
              <w:rPr>
                <w:rFonts w:ascii="Arial Mäori" w:hAnsi="Arial Mäori" w:cs="Arial Mäori"/>
                <w:i/>
                <w:iCs/>
                <w:sz w:val="18"/>
              </w:rPr>
            </w:pPr>
          </w:p>
        </w:tc>
      </w:tr>
      <w:tr w:rsidR="00B11BBE" w:rsidRPr="00C5297A" w:rsidTr="003E07AA">
        <w:tc>
          <w:tcPr>
            <w:tcW w:w="959" w:type="dxa"/>
          </w:tcPr>
          <w:p w:rsidR="00B11BBE" w:rsidRPr="00C5297A" w:rsidRDefault="00B11BBE" w:rsidP="003E07AA">
            <w:pPr>
              <w:rPr>
                <w:rFonts w:ascii="Arial Mäori" w:hAnsi="Arial Mäori" w:cs="Arial Mäori"/>
                <w:spacing w:val="-3"/>
                <w:sz w:val="22"/>
                <w:lang w:val="en-US"/>
              </w:rPr>
            </w:pPr>
          </w:p>
        </w:tc>
        <w:tc>
          <w:tcPr>
            <w:tcW w:w="6662" w:type="dxa"/>
          </w:tcPr>
          <w:p w:rsidR="00B11BBE" w:rsidRPr="00160C24" w:rsidRDefault="00854758" w:rsidP="00845EEE">
            <w:pPr>
              <w:spacing w:before="60" w:after="60"/>
              <w:jc w:val="both"/>
              <w:rPr>
                <w:rFonts w:ascii="Arial Mäori" w:hAnsi="Arial Mäori" w:cs="Arial Mäori"/>
                <w:spacing w:val="-3"/>
                <w:sz w:val="21"/>
                <w:szCs w:val="21"/>
                <w:lang w:val="en-US"/>
              </w:rPr>
            </w:pPr>
            <w:r w:rsidRPr="00160C24">
              <w:rPr>
                <w:rFonts w:ascii="Arial Mäori" w:hAnsi="Arial Mäori" w:cs="Arial Mäori"/>
                <w:spacing w:val="-3"/>
                <w:sz w:val="21"/>
                <w:szCs w:val="21"/>
                <w:lang w:val="en-US"/>
              </w:rPr>
              <w:t>The ACMO will develop a portfolio of consultancy services that will be available on an hourly rate basis to any Anglican related entity in addition to those who have established contracts for service agreements.</w:t>
            </w:r>
          </w:p>
        </w:tc>
        <w:tc>
          <w:tcPr>
            <w:tcW w:w="1418" w:type="dxa"/>
          </w:tcPr>
          <w:p w:rsidR="00B11BBE" w:rsidRPr="00C5297A" w:rsidRDefault="00B11BBE" w:rsidP="003E07AA">
            <w:pPr>
              <w:rPr>
                <w:rFonts w:ascii="Arial Mäori" w:hAnsi="Arial Mäori" w:cs="Arial Mäori"/>
                <w:i/>
                <w:iCs/>
                <w:sz w:val="18"/>
              </w:rPr>
            </w:pPr>
          </w:p>
        </w:tc>
      </w:tr>
      <w:tr w:rsidR="00B72290" w:rsidRPr="00C5297A" w:rsidTr="00914BFA">
        <w:tc>
          <w:tcPr>
            <w:tcW w:w="7621" w:type="dxa"/>
            <w:gridSpan w:val="2"/>
          </w:tcPr>
          <w:p w:rsidR="00B72290" w:rsidRPr="00B72290" w:rsidRDefault="00B72290" w:rsidP="002C4544">
            <w:pPr>
              <w:pStyle w:val="ListParagraph"/>
              <w:spacing w:before="120" w:after="120"/>
              <w:ind w:left="0"/>
              <w:jc w:val="both"/>
              <w:rPr>
                <w:rFonts w:ascii="Arial Mäori" w:hAnsi="Arial Mäori" w:cs="Arial Mäori"/>
                <w:b/>
                <w:color w:val="000000"/>
                <w:sz w:val="22"/>
              </w:rPr>
            </w:pPr>
            <w:r>
              <w:rPr>
                <w:rFonts w:ascii="Arial Mäori" w:hAnsi="Arial Mäori" w:cs="Arial Mäori"/>
                <w:b/>
                <w:spacing w:val="-3"/>
                <w:sz w:val="22"/>
                <w:lang w:val="en-US"/>
              </w:rPr>
              <w:t>PART 2:  Key Outcomes</w:t>
            </w:r>
          </w:p>
        </w:tc>
        <w:tc>
          <w:tcPr>
            <w:tcW w:w="1418" w:type="dxa"/>
          </w:tcPr>
          <w:p w:rsidR="00B72290" w:rsidRPr="00C5297A" w:rsidRDefault="00B72290" w:rsidP="00B72290">
            <w:pPr>
              <w:rPr>
                <w:rFonts w:ascii="Arial Mäori" w:hAnsi="Arial Mäori" w:cs="Arial Mäori"/>
                <w:i/>
                <w:iCs/>
                <w:sz w:val="18"/>
              </w:rPr>
            </w:pPr>
          </w:p>
        </w:tc>
      </w:tr>
      <w:tr w:rsidR="004970D6" w:rsidRPr="00C5297A" w:rsidTr="003E07AA">
        <w:tc>
          <w:tcPr>
            <w:tcW w:w="959" w:type="dxa"/>
          </w:tcPr>
          <w:p w:rsidR="004970D6" w:rsidRPr="00C5297A" w:rsidRDefault="004970D6" w:rsidP="009D7FF7">
            <w:pPr>
              <w:spacing w:before="120" w:after="120"/>
              <w:rPr>
                <w:rFonts w:ascii="Arial Mäori" w:hAnsi="Arial Mäori" w:cs="Arial Mäori"/>
                <w:spacing w:val="-3"/>
                <w:sz w:val="22"/>
                <w:lang w:val="en-US"/>
              </w:rPr>
            </w:pPr>
          </w:p>
        </w:tc>
        <w:tc>
          <w:tcPr>
            <w:tcW w:w="6662" w:type="dxa"/>
          </w:tcPr>
          <w:p w:rsidR="004970D6" w:rsidRPr="00C5297A" w:rsidRDefault="00515B7B" w:rsidP="009D7FF7">
            <w:pPr>
              <w:tabs>
                <w:tab w:val="left" w:pos="-1440"/>
                <w:tab w:val="left" w:pos="-720"/>
                <w:tab w:val="left" w:pos="0"/>
                <w:tab w:val="left" w:pos="720"/>
                <w:tab w:val="left" w:pos="1224"/>
                <w:tab w:val="left" w:pos="2358"/>
                <w:tab w:val="left" w:pos="2880"/>
              </w:tabs>
              <w:suppressAutoHyphens/>
              <w:spacing w:before="120" w:after="120"/>
              <w:jc w:val="both"/>
              <w:rPr>
                <w:rFonts w:ascii="Arial Mäori" w:hAnsi="Arial Mäori" w:cs="Arial Mäori"/>
                <w:spacing w:val="-3"/>
                <w:sz w:val="22"/>
                <w:lang w:val="en-US"/>
              </w:rPr>
            </w:pPr>
            <w:r>
              <w:rPr>
                <w:rFonts w:ascii="Arial Mäori" w:hAnsi="Arial Mäori" w:cs="Arial Mäori"/>
                <w:spacing w:val="-3"/>
                <w:sz w:val="22"/>
                <w:lang w:val="en-US"/>
              </w:rPr>
              <w:t>The work of the ACMO and its staff will:</w:t>
            </w:r>
          </w:p>
        </w:tc>
        <w:tc>
          <w:tcPr>
            <w:tcW w:w="1418" w:type="dxa"/>
          </w:tcPr>
          <w:p w:rsidR="004970D6" w:rsidRPr="00C5297A" w:rsidRDefault="004970D6" w:rsidP="009D7FF7">
            <w:pPr>
              <w:spacing w:before="120" w:after="120"/>
              <w:rPr>
                <w:rFonts w:ascii="Arial Mäori" w:hAnsi="Arial Mäori" w:cs="Arial Mäori"/>
                <w:i/>
                <w:iCs/>
                <w:color w:val="FF0000"/>
                <w:sz w:val="18"/>
              </w:rPr>
            </w:pPr>
          </w:p>
        </w:tc>
      </w:tr>
      <w:tr w:rsidR="004970D6" w:rsidTr="003E07AA">
        <w:tc>
          <w:tcPr>
            <w:tcW w:w="959" w:type="dxa"/>
          </w:tcPr>
          <w:p w:rsidR="004970D6" w:rsidRDefault="004970D6" w:rsidP="009D7FF7">
            <w:pPr>
              <w:rPr>
                <w:rFonts w:ascii="Arial Mäori" w:hAnsi="Arial Mäori" w:cs="Arial Mäori"/>
                <w:spacing w:val="-3"/>
                <w:sz w:val="22"/>
                <w:lang w:val="en-US"/>
              </w:rPr>
            </w:pPr>
          </w:p>
        </w:tc>
        <w:tc>
          <w:tcPr>
            <w:tcW w:w="6662" w:type="dxa"/>
          </w:tcPr>
          <w:p w:rsidR="004970D6" w:rsidRPr="00934303" w:rsidRDefault="00BB172B" w:rsidP="00934303">
            <w:pPr>
              <w:pStyle w:val="ListParagraph"/>
              <w:numPr>
                <w:ilvl w:val="0"/>
                <w:numId w:val="5"/>
              </w:numPr>
              <w:tabs>
                <w:tab w:val="left" w:pos="-1440"/>
                <w:tab w:val="left" w:pos="-720"/>
                <w:tab w:val="left" w:pos="0"/>
                <w:tab w:val="left" w:pos="720"/>
                <w:tab w:val="left" w:pos="1224"/>
                <w:tab w:val="left" w:pos="2358"/>
                <w:tab w:val="left" w:pos="2880"/>
              </w:tabs>
              <w:suppressAutoHyphens/>
              <w:ind w:hanging="720"/>
              <w:jc w:val="both"/>
              <w:rPr>
                <w:rFonts w:ascii="Arial Mäori" w:hAnsi="Arial Mäori" w:cs="Arial Mäori"/>
                <w:spacing w:val="-3"/>
                <w:sz w:val="22"/>
                <w:lang w:val="en-US"/>
              </w:rPr>
            </w:pPr>
            <w:r w:rsidRPr="00934303">
              <w:rPr>
                <w:rFonts w:ascii="Arial Mäori" w:hAnsi="Arial Mäori" w:cs="Arial Mäori"/>
                <w:spacing w:val="-3"/>
                <w:sz w:val="22"/>
                <w:lang w:val="en-US"/>
              </w:rPr>
              <w:t>reflect  Gospel values and professional ethical best practice principles;</w:t>
            </w:r>
          </w:p>
        </w:tc>
        <w:tc>
          <w:tcPr>
            <w:tcW w:w="1418" w:type="dxa"/>
          </w:tcPr>
          <w:p w:rsidR="004970D6" w:rsidRDefault="004970D6" w:rsidP="009D7FF7">
            <w:pPr>
              <w:rPr>
                <w:rFonts w:ascii="Arial Mäori" w:hAnsi="Arial Mäori" w:cs="Arial Mäori"/>
                <w:i/>
                <w:iCs/>
                <w:sz w:val="18"/>
              </w:rPr>
            </w:pPr>
          </w:p>
        </w:tc>
      </w:tr>
      <w:tr w:rsidR="004970D6" w:rsidTr="003E07AA">
        <w:tc>
          <w:tcPr>
            <w:tcW w:w="959" w:type="dxa"/>
          </w:tcPr>
          <w:p w:rsidR="004970D6" w:rsidRDefault="004970D6" w:rsidP="008B5587">
            <w:pPr>
              <w:rPr>
                <w:rFonts w:ascii="Arial Mäori" w:hAnsi="Arial Mäori" w:cs="Arial Mäori"/>
                <w:spacing w:val="-3"/>
                <w:sz w:val="22"/>
                <w:lang w:val="en-US"/>
              </w:rPr>
            </w:pPr>
          </w:p>
        </w:tc>
        <w:tc>
          <w:tcPr>
            <w:tcW w:w="6662" w:type="dxa"/>
          </w:tcPr>
          <w:p w:rsidR="004970D6" w:rsidRPr="00934303" w:rsidRDefault="00BB172B" w:rsidP="00934303">
            <w:pPr>
              <w:pStyle w:val="ListParagraph"/>
              <w:numPr>
                <w:ilvl w:val="0"/>
                <w:numId w:val="6"/>
              </w:numPr>
              <w:tabs>
                <w:tab w:val="left" w:pos="-1440"/>
                <w:tab w:val="left" w:pos="-720"/>
                <w:tab w:val="left" w:pos="0"/>
                <w:tab w:val="left" w:pos="720"/>
                <w:tab w:val="left" w:pos="1224"/>
                <w:tab w:val="left" w:pos="2358"/>
                <w:tab w:val="left" w:pos="2880"/>
              </w:tabs>
              <w:suppressAutoHyphens/>
              <w:ind w:hanging="720"/>
              <w:jc w:val="both"/>
              <w:rPr>
                <w:rFonts w:ascii="Arial Mäori" w:hAnsi="Arial Mäori" w:cs="Arial Mäori"/>
                <w:spacing w:val="-3"/>
                <w:sz w:val="22"/>
                <w:lang w:val="en-US"/>
              </w:rPr>
            </w:pPr>
            <w:r w:rsidRPr="00934303">
              <w:rPr>
                <w:rFonts w:ascii="Arial Mäori" w:hAnsi="Arial Mäori" w:cs="Arial Mäori"/>
                <w:spacing w:val="-3"/>
                <w:sz w:val="22"/>
                <w:lang w:val="en-US"/>
              </w:rPr>
              <w:t>serve all three Tikanga of this Church;</w:t>
            </w:r>
          </w:p>
        </w:tc>
        <w:tc>
          <w:tcPr>
            <w:tcW w:w="1418" w:type="dxa"/>
          </w:tcPr>
          <w:p w:rsidR="004970D6" w:rsidRDefault="004970D6" w:rsidP="008B5587">
            <w:pPr>
              <w:rPr>
                <w:rFonts w:ascii="Arial Mäori" w:hAnsi="Arial Mäori" w:cs="Arial Mäori"/>
                <w:i/>
                <w:iCs/>
                <w:sz w:val="18"/>
              </w:rPr>
            </w:pPr>
          </w:p>
        </w:tc>
      </w:tr>
      <w:tr w:rsidR="00EA4DFD" w:rsidTr="003E07AA">
        <w:tc>
          <w:tcPr>
            <w:tcW w:w="959" w:type="dxa"/>
          </w:tcPr>
          <w:p w:rsidR="00EA4DFD" w:rsidRDefault="00EA4DFD" w:rsidP="00EA4DFD">
            <w:pPr>
              <w:rPr>
                <w:rFonts w:ascii="Arial Mäori" w:hAnsi="Arial Mäori" w:cs="Arial Mäori"/>
                <w:spacing w:val="-3"/>
                <w:sz w:val="22"/>
                <w:lang w:val="en-US"/>
              </w:rPr>
            </w:pPr>
          </w:p>
        </w:tc>
        <w:tc>
          <w:tcPr>
            <w:tcW w:w="6662" w:type="dxa"/>
          </w:tcPr>
          <w:p w:rsidR="00EA4DFD" w:rsidRPr="00934303" w:rsidRDefault="00724586" w:rsidP="00934303">
            <w:pPr>
              <w:pStyle w:val="ListParagraph"/>
              <w:numPr>
                <w:ilvl w:val="0"/>
                <w:numId w:val="6"/>
              </w:numPr>
              <w:tabs>
                <w:tab w:val="left" w:pos="-1440"/>
                <w:tab w:val="left" w:pos="-720"/>
                <w:tab w:val="left" w:pos="0"/>
                <w:tab w:val="left" w:pos="720"/>
                <w:tab w:val="left" w:pos="1224"/>
                <w:tab w:val="left" w:pos="2358"/>
                <w:tab w:val="left" w:pos="2880"/>
              </w:tabs>
              <w:suppressAutoHyphens/>
              <w:ind w:hanging="720"/>
              <w:jc w:val="both"/>
              <w:rPr>
                <w:rFonts w:ascii="Arial Mäori" w:hAnsi="Arial Mäori" w:cs="Arial Mäori"/>
                <w:spacing w:val="-3"/>
                <w:sz w:val="22"/>
                <w:lang w:val="en-US"/>
              </w:rPr>
            </w:pPr>
            <w:r w:rsidRPr="00934303">
              <w:rPr>
                <w:rFonts w:ascii="Arial Mäori" w:hAnsi="Arial Mäori" w:cs="Arial Mäori"/>
                <w:spacing w:val="-3"/>
                <w:sz w:val="22"/>
                <w:lang w:val="en-US"/>
              </w:rPr>
              <w:t>be charactised by openness and transparency;</w:t>
            </w:r>
            <w:r w:rsidR="00EA4DFD" w:rsidRPr="00934303">
              <w:rPr>
                <w:rFonts w:ascii="Arial Mäori" w:hAnsi="Arial Mäori" w:cs="Arial Mäori"/>
                <w:spacing w:val="-3"/>
                <w:sz w:val="22"/>
                <w:lang w:val="en-US"/>
              </w:rPr>
              <w:t xml:space="preserve"> </w:t>
            </w:r>
          </w:p>
        </w:tc>
        <w:tc>
          <w:tcPr>
            <w:tcW w:w="1418" w:type="dxa"/>
          </w:tcPr>
          <w:p w:rsidR="00EA4DFD" w:rsidRDefault="00EA4DFD" w:rsidP="00EA4DFD">
            <w:pPr>
              <w:rPr>
                <w:rFonts w:ascii="Arial Mäori" w:hAnsi="Arial Mäori" w:cs="Arial Mäori"/>
                <w:i/>
                <w:iCs/>
                <w:sz w:val="18"/>
              </w:rPr>
            </w:pPr>
          </w:p>
        </w:tc>
      </w:tr>
      <w:tr w:rsidR="00EA4DFD" w:rsidTr="003E07AA">
        <w:tc>
          <w:tcPr>
            <w:tcW w:w="959" w:type="dxa"/>
          </w:tcPr>
          <w:p w:rsidR="00EA4DFD" w:rsidRDefault="00EA4DFD" w:rsidP="00EA4DFD">
            <w:pPr>
              <w:rPr>
                <w:rFonts w:ascii="Arial Mäori" w:hAnsi="Arial Mäori" w:cs="Arial Mäori"/>
                <w:spacing w:val="-3"/>
                <w:sz w:val="22"/>
                <w:lang w:val="en-US"/>
              </w:rPr>
            </w:pPr>
          </w:p>
        </w:tc>
        <w:tc>
          <w:tcPr>
            <w:tcW w:w="6662" w:type="dxa"/>
          </w:tcPr>
          <w:p w:rsidR="00EA4DFD" w:rsidRPr="00934303" w:rsidRDefault="00724586" w:rsidP="00934303">
            <w:pPr>
              <w:pStyle w:val="ListParagraph"/>
              <w:numPr>
                <w:ilvl w:val="0"/>
                <w:numId w:val="6"/>
              </w:numPr>
              <w:tabs>
                <w:tab w:val="left" w:pos="-1440"/>
                <w:tab w:val="left" w:pos="-720"/>
                <w:tab w:val="left" w:pos="0"/>
                <w:tab w:val="left" w:pos="720"/>
                <w:tab w:val="left" w:pos="1224"/>
                <w:tab w:val="left" w:pos="2358"/>
                <w:tab w:val="left" w:pos="2880"/>
              </w:tabs>
              <w:suppressAutoHyphens/>
              <w:ind w:hanging="720"/>
              <w:jc w:val="both"/>
              <w:rPr>
                <w:rFonts w:ascii="Arial Mäori" w:hAnsi="Arial Mäori" w:cs="Arial Mäori"/>
                <w:spacing w:val="-3"/>
                <w:sz w:val="22"/>
                <w:lang w:val="en-US"/>
              </w:rPr>
            </w:pPr>
            <w:r w:rsidRPr="00934303">
              <w:rPr>
                <w:rFonts w:ascii="Arial Mäori" w:hAnsi="Arial Mäori" w:cs="Arial Mäori"/>
                <w:spacing w:val="-3"/>
                <w:sz w:val="22"/>
                <w:lang w:val="en-US"/>
              </w:rPr>
              <w:t>ensure all communication to Anglican Church stakeholders and to the wider society will be of the highest quality and provided in a timely manner</w:t>
            </w:r>
            <w:r w:rsidR="00EA4DFD" w:rsidRPr="00934303">
              <w:rPr>
                <w:rFonts w:ascii="Arial Mäori" w:hAnsi="Arial Mäori" w:cs="Arial Mäori"/>
                <w:spacing w:val="-3"/>
                <w:sz w:val="22"/>
                <w:lang w:val="en-US"/>
              </w:rPr>
              <w:t>;</w:t>
            </w:r>
          </w:p>
        </w:tc>
        <w:tc>
          <w:tcPr>
            <w:tcW w:w="1418" w:type="dxa"/>
          </w:tcPr>
          <w:p w:rsidR="00EA4DFD" w:rsidRDefault="00EA4DFD" w:rsidP="00EA4DFD">
            <w:pPr>
              <w:rPr>
                <w:rFonts w:ascii="Arial Mäori" w:hAnsi="Arial Mäori" w:cs="Arial Mäori"/>
                <w:i/>
                <w:iCs/>
                <w:sz w:val="18"/>
              </w:rPr>
            </w:pPr>
          </w:p>
        </w:tc>
      </w:tr>
      <w:tr w:rsidR="00EA4DFD" w:rsidTr="003E07AA">
        <w:tc>
          <w:tcPr>
            <w:tcW w:w="959" w:type="dxa"/>
          </w:tcPr>
          <w:p w:rsidR="00EA4DFD" w:rsidRDefault="00EA4DFD" w:rsidP="00EA4DFD">
            <w:pPr>
              <w:rPr>
                <w:rFonts w:ascii="Arial Mäori" w:hAnsi="Arial Mäori" w:cs="Arial Mäori"/>
                <w:spacing w:val="-3"/>
                <w:sz w:val="22"/>
                <w:lang w:val="en-US"/>
              </w:rPr>
            </w:pPr>
          </w:p>
        </w:tc>
        <w:tc>
          <w:tcPr>
            <w:tcW w:w="6662" w:type="dxa"/>
          </w:tcPr>
          <w:p w:rsidR="00EA4DFD" w:rsidRPr="00064907" w:rsidRDefault="00724586" w:rsidP="00064907">
            <w:pPr>
              <w:pStyle w:val="ListParagraph"/>
              <w:numPr>
                <w:ilvl w:val="0"/>
                <w:numId w:val="6"/>
              </w:numPr>
              <w:tabs>
                <w:tab w:val="left" w:pos="-1440"/>
                <w:tab w:val="left" w:pos="-720"/>
                <w:tab w:val="left" w:pos="0"/>
                <w:tab w:val="left" w:pos="720"/>
                <w:tab w:val="left" w:pos="1224"/>
                <w:tab w:val="left" w:pos="2358"/>
                <w:tab w:val="left" w:pos="2880"/>
              </w:tabs>
              <w:suppressAutoHyphens/>
              <w:ind w:hanging="720"/>
              <w:jc w:val="both"/>
              <w:rPr>
                <w:rFonts w:ascii="Arial Mäori" w:hAnsi="Arial Mäori" w:cs="Arial Mäori"/>
                <w:spacing w:val="-3"/>
                <w:sz w:val="22"/>
                <w:lang w:val="en-US"/>
              </w:rPr>
            </w:pPr>
            <w:r w:rsidRPr="00064907">
              <w:rPr>
                <w:rFonts w:ascii="Arial Mäori" w:hAnsi="Arial Mäori" w:cs="Arial Mäori"/>
                <w:spacing w:val="-3"/>
                <w:sz w:val="22"/>
                <w:lang w:val="en-US"/>
              </w:rPr>
              <w:t>ensure the highest levels of internal and external accountability.</w:t>
            </w:r>
          </w:p>
        </w:tc>
        <w:tc>
          <w:tcPr>
            <w:tcW w:w="1418" w:type="dxa"/>
          </w:tcPr>
          <w:p w:rsidR="00EA4DFD" w:rsidRDefault="00EA4DFD" w:rsidP="00EA4DFD">
            <w:pPr>
              <w:rPr>
                <w:rFonts w:ascii="Arial Mäori" w:hAnsi="Arial Mäori" w:cs="Arial Mäori"/>
                <w:i/>
                <w:iCs/>
                <w:sz w:val="18"/>
              </w:rPr>
            </w:pPr>
          </w:p>
        </w:tc>
      </w:tr>
      <w:tr w:rsidR="00705458" w:rsidRPr="00C5297A" w:rsidTr="00113BDC">
        <w:tc>
          <w:tcPr>
            <w:tcW w:w="7621" w:type="dxa"/>
            <w:gridSpan w:val="2"/>
          </w:tcPr>
          <w:p w:rsidR="00705458" w:rsidRPr="00705458" w:rsidRDefault="00705458" w:rsidP="00064907">
            <w:pPr>
              <w:tabs>
                <w:tab w:val="left" w:pos="-1440"/>
                <w:tab w:val="left" w:pos="-720"/>
                <w:tab w:val="left" w:pos="0"/>
                <w:tab w:val="left" w:pos="720"/>
                <w:tab w:val="left" w:pos="1224"/>
                <w:tab w:val="left" w:pos="2358"/>
                <w:tab w:val="left" w:pos="2880"/>
              </w:tabs>
              <w:suppressAutoHyphens/>
              <w:spacing w:before="120" w:after="120"/>
              <w:jc w:val="both"/>
              <w:rPr>
                <w:rFonts w:ascii="Arial Mäori" w:hAnsi="Arial Mäori" w:cs="Arial Mäori"/>
                <w:b/>
                <w:spacing w:val="-3"/>
                <w:sz w:val="22"/>
                <w:lang w:val="en-US"/>
              </w:rPr>
            </w:pPr>
            <w:r>
              <w:rPr>
                <w:rFonts w:ascii="Arial Mäori" w:hAnsi="Arial Mäori" w:cs="Arial Mäori"/>
                <w:b/>
                <w:spacing w:val="-3"/>
                <w:sz w:val="22"/>
                <w:lang w:val="en-US"/>
              </w:rPr>
              <w:t>PART 3:  Expert Reference Panel</w:t>
            </w:r>
          </w:p>
        </w:tc>
        <w:tc>
          <w:tcPr>
            <w:tcW w:w="1418" w:type="dxa"/>
          </w:tcPr>
          <w:p w:rsidR="00705458" w:rsidRPr="00C5297A" w:rsidRDefault="00705458" w:rsidP="00064907">
            <w:pPr>
              <w:spacing w:before="120" w:after="120"/>
              <w:rPr>
                <w:rFonts w:ascii="Arial Mäori" w:hAnsi="Arial Mäori" w:cs="Arial Mäori"/>
                <w:i/>
                <w:iCs/>
                <w:color w:val="FF0000"/>
                <w:sz w:val="18"/>
              </w:rPr>
            </w:pPr>
          </w:p>
        </w:tc>
      </w:tr>
      <w:tr w:rsidR="00705458" w:rsidRPr="00C5297A" w:rsidTr="003E07AA">
        <w:tc>
          <w:tcPr>
            <w:tcW w:w="959" w:type="dxa"/>
          </w:tcPr>
          <w:p w:rsidR="00705458" w:rsidRDefault="00C11AF9" w:rsidP="00845EEE">
            <w:pPr>
              <w:spacing w:before="60" w:after="60"/>
              <w:rPr>
                <w:rFonts w:ascii="Arial Mäori" w:hAnsi="Arial Mäori" w:cs="Arial Mäori"/>
                <w:spacing w:val="-3"/>
                <w:sz w:val="22"/>
                <w:lang w:val="en-US"/>
              </w:rPr>
            </w:pPr>
            <w:r>
              <w:rPr>
                <w:rFonts w:ascii="Arial Mäori" w:hAnsi="Arial Mäori" w:cs="Arial Mäori"/>
                <w:spacing w:val="-3"/>
                <w:sz w:val="22"/>
                <w:lang w:val="en-US"/>
              </w:rPr>
              <w:t>3.1</w:t>
            </w:r>
          </w:p>
        </w:tc>
        <w:tc>
          <w:tcPr>
            <w:tcW w:w="6662" w:type="dxa"/>
          </w:tcPr>
          <w:p w:rsidR="00705458" w:rsidRPr="00916B33" w:rsidRDefault="00C11AF9" w:rsidP="00845EEE">
            <w:pPr>
              <w:tabs>
                <w:tab w:val="left" w:pos="-1440"/>
                <w:tab w:val="left" w:pos="-720"/>
                <w:tab w:val="left" w:pos="0"/>
                <w:tab w:val="left" w:pos="720"/>
                <w:tab w:val="left" w:pos="1224"/>
                <w:tab w:val="left" w:pos="2358"/>
                <w:tab w:val="left" w:pos="2880"/>
              </w:tabs>
              <w:suppressAutoHyphens/>
              <w:spacing w:before="60" w:after="60"/>
              <w:jc w:val="both"/>
              <w:rPr>
                <w:rFonts w:ascii="Arial Mäori" w:hAnsi="Arial Mäori" w:cs="Arial Mäori"/>
                <w:spacing w:val="-3"/>
                <w:sz w:val="22"/>
                <w:szCs w:val="22"/>
                <w:lang w:val="en-US"/>
              </w:rPr>
            </w:pPr>
            <w:r w:rsidRPr="00916B33">
              <w:rPr>
                <w:rFonts w:ascii="Arial Mäori" w:hAnsi="Arial Mäori" w:cs="Arial Mäori"/>
                <w:spacing w:val="-3"/>
                <w:sz w:val="22"/>
                <w:szCs w:val="22"/>
                <w:lang w:val="en-US"/>
              </w:rPr>
              <w:t>An expert reference panel of one of the Primates or their nominee, the General Secretary, and Industry experts with Church connection or understanding, appointed by General Synod Standing Committee, will act as advisors to ACMO staff members.</w:t>
            </w:r>
          </w:p>
        </w:tc>
        <w:tc>
          <w:tcPr>
            <w:tcW w:w="1418" w:type="dxa"/>
          </w:tcPr>
          <w:p w:rsidR="00705458" w:rsidRDefault="00705458" w:rsidP="00845EEE">
            <w:pPr>
              <w:spacing w:before="60" w:after="60"/>
              <w:rPr>
                <w:rFonts w:ascii="Arial Mäori" w:hAnsi="Arial Mäori" w:cs="Arial Mäori"/>
                <w:i/>
                <w:iCs/>
                <w:sz w:val="18"/>
              </w:rPr>
            </w:pPr>
          </w:p>
        </w:tc>
      </w:tr>
      <w:tr w:rsidR="00705458" w:rsidRPr="00C5297A" w:rsidTr="003E07AA">
        <w:tc>
          <w:tcPr>
            <w:tcW w:w="959" w:type="dxa"/>
          </w:tcPr>
          <w:p w:rsidR="00705458" w:rsidRDefault="00845EEE" w:rsidP="00845EEE">
            <w:pPr>
              <w:spacing w:before="60" w:after="60"/>
              <w:rPr>
                <w:rFonts w:ascii="Arial Mäori" w:hAnsi="Arial Mäori" w:cs="Arial Mäori"/>
                <w:spacing w:val="-3"/>
                <w:sz w:val="22"/>
                <w:lang w:val="en-US"/>
              </w:rPr>
            </w:pPr>
            <w:r>
              <w:rPr>
                <w:rFonts w:ascii="Arial Mäori" w:hAnsi="Arial Mäori" w:cs="Arial Mäori"/>
                <w:spacing w:val="-3"/>
                <w:sz w:val="22"/>
                <w:lang w:val="en-US"/>
              </w:rPr>
              <w:t>3.2</w:t>
            </w:r>
          </w:p>
        </w:tc>
        <w:tc>
          <w:tcPr>
            <w:tcW w:w="6662" w:type="dxa"/>
          </w:tcPr>
          <w:p w:rsidR="00705458" w:rsidRPr="00C5297A" w:rsidRDefault="00845EEE" w:rsidP="00845EEE">
            <w:pPr>
              <w:tabs>
                <w:tab w:val="left" w:pos="-1440"/>
                <w:tab w:val="left" w:pos="-720"/>
                <w:tab w:val="left" w:pos="0"/>
                <w:tab w:val="left" w:pos="720"/>
                <w:tab w:val="left" w:pos="1224"/>
                <w:tab w:val="left" w:pos="2358"/>
                <w:tab w:val="left" w:pos="2880"/>
              </w:tabs>
              <w:suppressAutoHyphens/>
              <w:spacing w:before="60" w:after="60"/>
              <w:jc w:val="both"/>
              <w:rPr>
                <w:rFonts w:ascii="Arial Mäori" w:hAnsi="Arial Mäori" w:cs="Arial Mäori"/>
                <w:spacing w:val="-3"/>
                <w:sz w:val="22"/>
                <w:lang w:val="en-US"/>
              </w:rPr>
            </w:pPr>
            <w:r>
              <w:rPr>
                <w:rFonts w:ascii="Arial Mäori" w:hAnsi="Arial Mäori" w:cs="Arial Mäori"/>
                <w:spacing w:val="-3"/>
                <w:sz w:val="22"/>
                <w:lang w:val="en-US"/>
              </w:rPr>
              <w:t>The panel will operate within Terms of Reference agreed by General Synod Standing Committee.</w:t>
            </w:r>
          </w:p>
        </w:tc>
        <w:tc>
          <w:tcPr>
            <w:tcW w:w="1418" w:type="dxa"/>
          </w:tcPr>
          <w:p w:rsidR="00705458" w:rsidRDefault="00705458" w:rsidP="00845EEE">
            <w:pPr>
              <w:spacing w:before="60" w:after="60"/>
              <w:rPr>
                <w:rFonts w:ascii="Arial Mäori" w:hAnsi="Arial Mäori" w:cs="Arial Mäori"/>
                <w:i/>
                <w:iCs/>
                <w:sz w:val="18"/>
              </w:rPr>
            </w:pPr>
          </w:p>
        </w:tc>
      </w:tr>
      <w:tr w:rsidR="00705458" w:rsidRPr="00C5297A" w:rsidTr="003E07AA">
        <w:tc>
          <w:tcPr>
            <w:tcW w:w="959" w:type="dxa"/>
          </w:tcPr>
          <w:p w:rsidR="00705458" w:rsidRDefault="000B131A" w:rsidP="00845EEE">
            <w:pPr>
              <w:spacing w:before="60" w:after="60"/>
              <w:rPr>
                <w:rFonts w:ascii="Arial Mäori" w:hAnsi="Arial Mäori" w:cs="Arial Mäori"/>
                <w:spacing w:val="-3"/>
                <w:sz w:val="22"/>
                <w:lang w:val="en-US"/>
              </w:rPr>
            </w:pPr>
            <w:r>
              <w:rPr>
                <w:rFonts w:ascii="Arial Mäori" w:hAnsi="Arial Mäori" w:cs="Arial Mäori"/>
                <w:spacing w:val="-3"/>
                <w:sz w:val="22"/>
                <w:lang w:val="en-US"/>
              </w:rPr>
              <w:t>3.3</w:t>
            </w:r>
          </w:p>
        </w:tc>
        <w:tc>
          <w:tcPr>
            <w:tcW w:w="6662" w:type="dxa"/>
          </w:tcPr>
          <w:p w:rsidR="00705458" w:rsidRPr="00D42CFD" w:rsidRDefault="000B131A" w:rsidP="00845EEE">
            <w:pPr>
              <w:tabs>
                <w:tab w:val="left" w:pos="-1440"/>
                <w:tab w:val="left" w:pos="-720"/>
                <w:tab w:val="left" w:pos="0"/>
                <w:tab w:val="left" w:pos="720"/>
                <w:tab w:val="left" w:pos="1224"/>
                <w:tab w:val="left" w:pos="2358"/>
                <w:tab w:val="left" w:pos="2880"/>
              </w:tabs>
              <w:suppressAutoHyphens/>
              <w:spacing w:before="60" w:after="60"/>
              <w:jc w:val="both"/>
              <w:rPr>
                <w:rFonts w:ascii="Arial Mäori" w:hAnsi="Arial Mäori" w:cs="Arial Mäori"/>
                <w:spacing w:val="-3"/>
                <w:sz w:val="21"/>
                <w:szCs w:val="21"/>
                <w:lang w:val="en-US"/>
              </w:rPr>
            </w:pPr>
            <w:r w:rsidRPr="00D42CFD">
              <w:rPr>
                <w:rFonts w:ascii="Arial Mäori" w:hAnsi="Arial Mäori" w:cs="Arial Mäori"/>
                <w:spacing w:val="-3"/>
                <w:sz w:val="21"/>
                <w:szCs w:val="21"/>
                <w:lang w:val="en-US"/>
              </w:rPr>
              <w:t>The expert reference panel may recommend to the General Synod Standing Committee the employment of staff and any contracts for service required to deliver these communications and media functions.</w:t>
            </w:r>
          </w:p>
        </w:tc>
        <w:tc>
          <w:tcPr>
            <w:tcW w:w="1418" w:type="dxa"/>
          </w:tcPr>
          <w:p w:rsidR="00705458" w:rsidRDefault="00705458" w:rsidP="00845EEE">
            <w:pPr>
              <w:spacing w:before="60" w:after="60"/>
              <w:rPr>
                <w:rFonts w:ascii="Arial Mäori" w:hAnsi="Arial Mäori" w:cs="Arial Mäori"/>
                <w:i/>
                <w:iCs/>
                <w:sz w:val="18"/>
              </w:rPr>
            </w:pPr>
          </w:p>
        </w:tc>
      </w:tr>
      <w:tr w:rsidR="00F50DAA" w:rsidRPr="00C5297A" w:rsidTr="006850EF">
        <w:tc>
          <w:tcPr>
            <w:tcW w:w="7621" w:type="dxa"/>
            <w:gridSpan w:val="2"/>
          </w:tcPr>
          <w:p w:rsidR="00F50DAA" w:rsidRPr="00F50DAA" w:rsidRDefault="00F50DAA" w:rsidP="00F50DAA">
            <w:pPr>
              <w:tabs>
                <w:tab w:val="left" w:pos="-1440"/>
                <w:tab w:val="left" w:pos="-720"/>
                <w:tab w:val="left" w:pos="0"/>
                <w:tab w:val="left" w:pos="720"/>
                <w:tab w:val="left" w:pos="1224"/>
                <w:tab w:val="left" w:pos="2358"/>
                <w:tab w:val="left" w:pos="2880"/>
              </w:tabs>
              <w:suppressAutoHyphens/>
              <w:spacing w:before="120" w:after="120"/>
              <w:jc w:val="both"/>
              <w:rPr>
                <w:rFonts w:ascii="Arial Mäori" w:hAnsi="Arial Mäori" w:cs="Arial Mäori"/>
                <w:b/>
                <w:spacing w:val="-3"/>
                <w:sz w:val="22"/>
                <w:lang w:val="en-US"/>
              </w:rPr>
            </w:pPr>
            <w:r>
              <w:rPr>
                <w:rFonts w:ascii="Arial Mäori" w:hAnsi="Arial Mäori" w:cs="Arial Mäori"/>
                <w:b/>
                <w:spacing w:val="-3"/>
                <w:sz w:val="22"/>
                <w:lang w:val="en-US"/>
              </w:rPr>
              <w:t>PART 4:  Accountabilities</w:t>
            </w:r>
          </w:p>
        </w:tc>
        <w:tc>
          <w:tcPr>
            <w:tcW w:w="1418" w:type="dxa"/>
          </w:tcPr>
          <w:p w:rsidR="00F50DAA" w:rsidRDefault="00F50DAA" w:rsidP="00F50DAA">
            <w:pPr>
              <w:spacing w:before="120" w:after="120"/>
              <w:rPr>
                <w:rFonts w:ascii="Arial Mäori" w:hAnsi="Arial Mäori" w:cs="Arial Mäori"/>
                <w:i/>
                <w:iCs/>
                <w:sz w:val="18"/>
              </w:rPr>
            </w:pPr>
          </w:p>
        </w:tc>
      </w:tr>
      <w:tr w:rsidR="000B131A" w:rsidRPr="00C5297A" w:rsidTr="003E07AA">
        <w:tc>
          <w:tcPr>
            <w:tcW w:w="959" w:type="dxa"/>
          </w:tcPr>
          <w:p w:rsidR="000B131A" w:rsidRDefault="004040B7" w:rsidP="00F50DAA">
            <w:pPr>
              <w:spacing w:before="60" w:after="60"/>
              <w:rPr>
                <w:rFonts w:ascii="Arial Mäori" w:hAnsi="Arial Mäori" w:cs="Arial Mäori"/>
                <w:spacing w:val="-3"/>
                <w:sz w:val="22"/>
                <w:lang w:val="en-US"/>
              </w:rPr>
            </w:pPr>
            <w:r>
              <w:rPr>
                <w:rFonts w:ascii="Arial Mäori" w:hAnsi="Arial Mäori" w:cs="Arial Mäori"/>
                <w:spacing w:val="-3"/>
                <w:sz w:val="22"/>
                <w:lang w:val="en-US"/>
              </w:rPr>
              <w:t>4.1</w:t>
            </w:r>
          </w:p>
        </w:tc>
        <w:tc>
          <w:tcPr>
            <w:tcW w:w="6662" w:type="dxa"/>
          </w:tcPr>
          <w:p w:rsidR="000B131A" w:rsidRPr="00C5297A" w:rsidRDefault="004040B7" w:rsidP="00F50DAA">
            <w:pPr>
              <w:tabs>
                <w:tab w:val="left" w:pos="-1440"/>
                <w:tab w:val="left" w:pos="-720"/>
                <w:tab w:val="left" w:pos="0"/>
                <w:tab w:val="left" w:pos="720"/>
                <w:tab w:val="left" w:pos="1224"/>
                <w:tab w:val="left" w:pos="2358"/>
                <w:tab w:val="left" w:pos="2880"/>
              </w:tabs>
              <w:suppressAutoHyphens/>
              <w:spacing w:before="60" w:after="60"/>
              <w:jc w:val="both"/>
              <w:rPr>
                <w:rFonts w:ascii="Arial Mäori" w:hAnsi="Arial Mäori" w:cs="Arial Mäori"/>
                <w:spacing w:val="-3"/>
                <w:sz w:val="22"/>
                <w:lang w:val="en-US"/>
              </w:rPr>
            </w:pPr>
            <w:r>
              <w:rPr>
                <w:rFonts w:ascii="Arial Mäori" w:hAnsi="Arial Mäori" w:cs="Arial Mäori"/>
                <w:spacing w:val="-3"/>
                <w:sz w:val="22"/>
                <w:lang w:val="en-US"/>
              </w:rPr>
              <w:t>All staff will be the employees of, or on contracts for service with, the General Synod Standing Committee.</w:t>
            </w:r>
          </w:p>
        </w:tc>
        <w:tc>
          <w:tcPr>
            <w:tcW w:w="1418" w:type="dxa"/>
          </w:tcPr>
          <w:p w:rsidR="000B131A" w:rsidRDefault="000B131A" w:rsidP="00F50DAA">
            <w:pPr>
              <w:spacing w:before="60" w:after="60"/>
              <w:rPr>
                <w:rFonts w:ascii="Arial Mäori" w:hAnsi="Arial Mäori" w:cs="Arial Mäori"/>
                <w:i/>
                <w:iCs/>
                <w:sz w:val="18"/>
              </w:rPr>
            </w:pPr>
          </w:p>
        </w:tc>
      </w:tr>
      <w:tr w:rsidR="000B131A" w:rsidRPr="00C5297A" w:rsidTr="003E07AA">
        <w:tc>
          <w:tcPr>
            <w:tcW w:w="959" w:type="dxa"/>
          </w:tcPr>
          <w:p w:rsidR="000B131A" w:rsidRDefault="004040B7" w:rsidP="004040B7">
            <w:pPr>
              <w:spacing w:before="60" w:after="60"/>
              <w:rPr>
                <w:rFonts w:ascii="Arial Mäori" w:hAnsi="Arial Mäori" w:cs="Arial Mäori"/>
                <w:spacing w:val="-3"/>
                <w:sz w:val="22"/>
                <w:lang w:val="en-US"/>
              </w:rPr>
            </w:pPr>
            <w:r>
              <w:rPr>
                <w:rFonts w:ascii="Arial Mäori" w:hAnsi="Arial Mäori" w:cs="Arial Mäori"/>
                <w:spacing w:val="-3"/>
                <w:sz w:val="22"/>
                <w:lang w:val="en-US"/>
              </w:rPr>
              <w:t>4.2</w:t>
            </w:r>
          </w:p>
        </w:tc>
        <w:tc>
          <w:tcPr>
            <w:tcW w:w="6662" w:type="dxa"/>
          </w:tcPr>
          <w:p w:rsidR="000B131A" w:rsidRPr="00C5297A" w:rsidRDefault="004040B7" w:rsidP="004040B7">
            <w:pPr>
              <w:tabs>
                <w:tab w:val="left" w:pos="-1440"/>
                <w:tab w:val="left" w:pos="-720"/>
                <w:tab w:val="left" w:pos="0"/>
                <w:tab w:val="left" w:pos="720"/>
                <w:tab w:val="left" w:pos="1224"/>
                <w:tab w:val="left" w:pos="2358"/>
                <w:tab w:val="left" w:pos="2880"/>
              </w:tabs>
              <w:suppressAutoHyphens/>
              <w:spacing w:before="60" w:after="60"/>
              <w:jc w:val="both"/>
              <w:rPr>
                <w:rFonts w:ascii="Arial Mäori" w:hAnsi="Arial Mäori" w:cs="Arial Mäori"/>
                <w:spacing w:val="-3"/>
                <w:sz w:val="22"/>
                <w:lang w:val="en-US"/>
              </w:rPr>
            </w:pPr>
            <w:r>
              <w:rPr>
                <w:rFonts w:ascii="Arial Mäori" w:hAnsi="Arial Mäori" w:cs="Arial Mäori"/>
                <w:spacing w:val="-3"/>
                <w:sz w:val="22"/>
                <w:lang w:val="en-US"/>
              </w:rPr>
              <w:t>The General Secretary, as the employer’s agent, will provide line management to staff members and contractors in all employment and contract matters.</w:t>
            </w:r>
          </w:p>
        </w:tc>
        <w:tc>
          <w:tcPr>
            <w:tcW w:w="1418" w:type="dxa"/>
          </w:tcPr>
          <w:p w:rsidR="000B131A" w:rsidRDefault="000B131A" w:rsidP="004040B7">
            <w:pPr>
              <w:spacing w:before="60" w:after="60"/>
              <w:rPr>
                <w:rFonts w:ascii="Arial Mäori" w:hAnsi="Arial Mäori" w:cs="Arial Mäori"/>
                <w:i/>
                <w:iCs/>
                <w:sz w:val="18"/>
              </w:rPr>
            </w:pPr>
          </w:p>
        </w:tc>
      </w:tr>
      <w:tr w:rsidR="000B131A" w:rsidRPr="00C5297A" w:rsidTr="003E07AA">
        <w:tc>
          <w:tcPr>
            <w:tcW w:w="959" w:type="dxa"/>
          </w:tcPr>
          <w:p w:rsidR="000B131A" w:rsidRDefault="004040B7" w:rsidP="004040B7">
            <w:pPr>
              <w:spacing w:before="60" w:after="60"/>
              <w:rPr>
                <w:rFonts w:ascii="Arial Mäori" w:hAnsi="Arial Mäori" w:cs="Arial Mäori"/>
                <w:spacing w:val="-3"/>
                <w:sz w:val="22"/>
                <w:lang w:val="en-US"/>
              </w:rPr>
            </w:pPr>
            <w:r>
              <w:rPr>
                <w:rFonts w:ascii="Arial Mäori" w:hAnsi="Arial Mäori" w:cs="Arial Mäori"/>
                <w:spacing w:val="-3"/>
                <w:sz w:val="22"/>
                <w:lang w:val="en-US"/>
              </w:rPr>
              <w:t>4.3</w:t>
            </w:r>
          </w:p>
        </w:tc>
        <w:tc>
          <w:tcPr>
            <w:tcW w:w="6662" w:type="dxa"/>
          </w:tcPr>
          <w:p w:rsidR="000B131A" w:rsidRPr="00C5297A" w:rsidRDefault="004040B7" w:rsidP="004040B7">
            <w:pPr>
              <w:tabs>
                <w:tab w:val="left" w:pos="-1440"/>
                <w:tab w:val="left" w:pos="-720"/>
                <w:tab w:val="left" w:pos="0"/>
                <w:tab w:val="left" w:pos="720"/>
                <w:tab w:val="left" w:pos="1224"/>
                <w:tab w:val="left" w:pos="2358"/>
                <w:tab w:val="left" w:pos="2880"/>
              </w:tabs>
              <w:suppressAutoHyphens/>
              <w:spacing w:before="60" w:after="60"/>
              <w:jc w:val="both"/>
              <w:rPr>
                <w:rFonts w:ascii="Arial Mäori" w:hAnsi="Arial Mäori" w:cs="Arial Mäori"/>
                <w:spacing w:val="-3"/>
                <w:sz w:val="22"/>
                <w:lang w:val="en-US"/>
              </w:rPr>
            </w:pPr>
            <w:r>
              <w:rPr>
                <w:rFonts w:ascii="Arial Mäori" w:hAnsi="Arial Mäori" w:cs="Arial Mäori"/>
                <w:spacing w:val="-3"/>
                <w:sz w:val="22"/>
                <w:lang w:val="en-US"/>
              </w:rPr>
              <w:t>One of the Primates (or their nominee), the General Secretary, and one of the industry experts will act as the point of professional ‘editorial’ reference for all staff.  The decisions of this group will be final and binding on all staff.</w:t>
            </w:r>
          </w:p>
        </w:tc>
        <w:tc>
          <w:tcPr>
            <w:tcW w:w="1418" w:type="dxa"/>
          </w:tcPr>
          <w:p w:rsidR="000B131A" w:rsidRDefault="000B131A" w:rsidP="004040B7">
            <w:pPr>
              <w:spacing w:before="60" w:after="60"/>
              <w:rPr>
                <w:rFonts w:ascii="Arial Mäori" w:hAnsi="Arial Mäori" w:cs="Arial Mäori"/>
                <w:i/>
                <w:iCs/>
                <w:sz w:val="18"/>
              </w:rPr>
            </w:pPr>
          </w:p>
        </w:tc>
      </w:tr>
      <w:tr w:rsidR="00F50DAA" w:rsidRPr="00C5297A" w:rsidTr="003E07AA">
        <w:tc>
          <w:tcPr>
            <w:tcW w:w="959" w:type="dxa"/>
          </w:tcPr>
          <w:p w:rsidR="00F50DAA" w:rsidRDefault="00F50DAA" w:rsidP="004040B7">
            <w:pPr>
              <w:spacing w:before="60" w:after="60"/>
              <w:rPr>
                <w:rFonts w:ascii="Arial Mäori" w:hAnsi="Arial Mäori" w:cs="Arial Mäori"/>
                <w:spacing w:val="-3"/>
                <w:sz w:val="22"/>
                <w:lang w:val="en-US"/>
              </w:rPr>
            </w:pPr>
          </w:p>
        </w:tc>
        <w:tc>
          <w:tcPr>
            <w:tcW w:w="6662" w:type="dxa"/>
          </w:tcPr>
          <w:p w:rsidR="00F50DAA" w:rsidRPr="00C5297A" w:rsidRDefault="004040B7" w:rsidP="004040B7">
            <w:pPr>
              <w:tabs>
                <w:tab w:val="left" w:pos="-1440"/>
                <w:tab w:val="left" w:pos="-720"/>
                <w:tab w:val="left" w:pos="0"/>
                <w:tab w:val="left" w:pos="720"/>
                <w:tab w:val="left" w:pos="1224"/>
                <w:tab w:val="left" w:pos="2358"/>
                <w:tab w:val="left" w:pos="2880"/>
              </w:tabs>
              <w:suppressAutoHyphens/>
              <w:spacing w:before="60" w:after="60"/>
              <w:jc w:val="both"/>
              <w:rPr>
                <w:rFonts w:ascii="Arial Mäori" w:hAnsi="Arial Mäori" w:cs="Arial Mäori"/>
                <w:spacing w:val="-3"/>
                <w:sz w:val="22"/>
                <w:lang w:val="en-US"/>
              </w:rPr>
            </w:pPr>
            <w:r>
              <w:rPr>
                <w:rFonts w:ascii="Arial Mäori" w:hAnsi="Arial Mäori" w:cs="Arial Mäori"/>
                <w:spacing w:val="-3"/>
                <w:sz w:val="22"/>
                <w:lang w:val="en-US"/>
              </w:rPr>
              <w:t>It is acknowledged that various combinations of these three will be appropriate depending on circumstances.  If required the Primate (or their nominee) will have final decision-making authority.</w:t>
            </w:r>
          </w:p>
        </w:tc>
        <w:tc>
          <w:tcPr>
            <w:tcW w:w="1418" w:type="dxa"/>
          </w:tcPr>
          <w:p w:rsidR="00F50DAA" w:rsidRDefault="00F50DAA" w:rsidP="004040B7">
            <w:pPr>
              <w:spacing w:before="60" w:after="60"/>
              <w:rPr>
                <w:rFonts w:ascii="Arial Mäori" w:hAnsi="Arial Mäori" w:cs="Arial Mäori"/>
                <w:i/>
                <w:iCs/>
                <w:sz w:val="18"/>
              </w:rPr>
            </w:pPr>
          </w:p>
        </w:tc>
      </w:tr>
      <w:tr w:rsidR="00F50DAA" w:rsidRPr="00C5297A" w:rsidTr="003E07AA">
        <w:tc>
          <w:tcPr>
            <w:tcW w:w="959" w:type="dxa"/>
          </w:tcPr>
          <w:p w:rsidR="00F50DAA" w:rsidRDefault="00F91625" w:rsidP="00F91625">
            <w:pPr>
              <w:spacing w:before="60"/>
              <w:rPr>
                <w:rFonts w:ascii="Arial Mäori" w:hAnsi="Arial Mäori" w:cs="Arial Mäori"/>
                <w:spacing w:val="-3"/>
                <w:sz w:val="22"/>
                <w:lang w:val="en-US"/>
              </w:rPr>
            </w:pPr>
            <w:r>
              <w:rPr>
                <w:rFonts w:ascii="Arial Mäori" w:hAnsi="Arial Mäori" w:cs="Arial Mäori"/>
                <w:spacing w:val="-3"/>
                <w:sz w:val="22"/>
                <w:lang w:val="en-US"/>
              </w:rPr>
              <w:t>4.4</w:t>
            </w:r>
          </w:p>
        </w:tc>
        <w:tc>
          <w:tcPr>
            <w:tcW w:w="6662" w:type="dxa"/>
          </w:tcPr>
          <w:p w:rsidR="00F50DAA" w:rsidRPr="00C5297A" w:rsidRDefault="00F91625" w:rsidP="00F91625">
            <w:pPr>
              <w:tabs>
                <w:tab w:val="left" w:pos="-1440"/>
                <w:tab w:val="left" w:pos="-720"/>
                <w:tab w:val="left" w:pos="0"/>
                <w:tab w:val="left" w:pos="720"/>
                <w:tab w:val="left" w:pos="1224"/>
                <w:tab w:val="left" w:pos="2358"/>
                <w:tab w:val="left" w:pos="2880"/>
              </w:tabs>
              <w:suppressAutoHyphens/>
              <w:spacing w:before="60"/>
              <w:jc w:val="both"/>
              <w:rPr>
                <w:rFonts w:ascii="Arial Mäori" w:hAnsi="Arial Mäori" w:cs="Arial Mäori"/>
                <w:spacing w:val="-3"/>
                <w:sz w:val="22"/>
                <w:lang w:val="en-US"/>
              </w:rPr>
            </w:pPr>
            <w:r>
              <w:rPr>
                <w:rFonts w:ascii="Arial Mäori" w:hAnsi="Arial Mäori" w:cs="Arial Mäori"/>
                <w:spacing w:val="-3"/>
                <w:sz w:val="22"/>
                <w:lang w:val="en-US"/>
              </w:rPr>
              <w:t xml:space="preserve">ACMO will report annually to General Synod Standing Committee, and biennially to </w:t>
            </w:r>
            <w:r w:rsidRPr="00C5297A">
              <w:rPr>
                <w:rFonts w:ascii="Arial Mäori" w:hAnsi="Arial Mäori" w:cs="Arial Mäori"/>
                <w:spacing w:val="-3"/>
                <w:sz w:val="22"/>
                <w:lang w:val="en-US"/>
              </w:rPr>
              <w:t>General Synod / te Hīnota Whānui</w:t>
            </w:r>
            <w:r>
              <w:rPr>
                <w:rFonts w:ascii="Arial Mäori" w:hAnsi="Arial Mäori" w:cs="Arial Mäori"/>
                <w:spacing w:val="-3"/>
                <w:sz w:val="22"/>
                <w:lang w:val="en-US"/>
              </w:rPr>
              <w:t>.</w:t>
            </w:r>
          </w:p>
        </w:tc>
        <w:tc>
          <w:tcPr>
            <w:tcW w:w="1418" w:type="dxa"/>
          </w:tcPr>
          <w:p w:rsidR="00F50DAA" w:rsidRDefault="00F50DAA" w:rsidP="00F91625">
            <w:pPr>
              <w:spacing w:before="60"/>
              <w:rPr>
                <w:rFonts w:ascii="Arial Mäori" w:hAnsi="Arial Mäori" w:cs="Arial Mäori"/>
                <w:i/>
                <w:iCs/>
                <w:sz w:val="18"/>
              </w:rPr>
            </w:pPr>
          </w:p>
        </w:tc>
      </w:tr>
    </w:tbl>
    <w:p w:rsidR="004A7636" w:rsidRDefault="004A7636" w:rsidP="00B21974"/>
    <w:sectPr w:rsidR="004A7636" w:rsidSect="006C23A8">
      <w:footerReference w:type="default" r:id="rId10"/>
      <w:pgSz w:w="11906" w:h="16838" w:code="9"/>
      <w:pgMar w:top="1361" w:right="1440" w:bottom="1361" w:left="1440" w:header="680" w:footer="624" w:gutter="0"/>
      <w:pgNumType w:start="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0E9" w:rsidRDefault="00EB20E9" w:rsidP="004970D6">
      <w:r>
        <w:separator/>
      </w:r>
    </w:p>
  </w:endnote>
  <w:endnote w:type="continuationSeparator" w:id="0">
    <w:p w:rsidR="00EB20E9" w:rsidRDefault="00EB20E9" w:rsidP="0049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Mäori">
    <w:altName w:val="Arial"/>
    <w:charset w:val="00"/>
    <w:family w:val="swiss"/>
    <w:pitch w:val="variable"/>
    <w:sig w:usb0="0000000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F31" w:rsidRDefault="00313CBA" w:rsidP="00313CBA">
    <w:pPr>
      <w:pStyle w:val="Footer"/>
      <w:numPr>
        <w:ilvl w:val="0"/>
        <w:numId w:val="7"/>
      </w:numPr>
      <w:tabs>
        <w:tab w:val="clear" w:pos="4513"/>
        <w:tab w:val="left" w:pos="4111"/>
      </w:tabs>
    </w:pPr>
    <w:r>
      <w:t>B.</w:t>
    </w:r>
    <w:sdt>
      <w:sdtPr>
        <w:id w:val="-1841919589"/>
        <w:docPartObj>
          <w:docPartGallery w:val="Page Numbers (Bottom of Page)"/>
          <w:docPartUnique/>
        </w:docPartObj>
      </w:sdtPr>
      <w:sdtEndPr>
        <w:rPr>
          <w:noProof/>
        </w:rPr>
      </w:sdtEndPr>
      <w:sdtContent>
        <w:r w:rsidR="002E0F31">
          <w:fldChar w:fldCharType="begin"/>
        </w:r>
        <w:r w:rsidR="002E0F31">
          <w:instrText xml:space="preserve"> PAGE   \* MERGEFORMAT </w:instrText>
        </w:r>
        <w:r w:rsidR="002E0F31">
          <w:fldChar w:fldCharType="separate"/>
        </w:r>
        <w:r w:rsidR="00547DE5">
          <w:rPr>
            <w:noProof/>
          </w:rPr>
          <w:t>52</w:t>
        </w:r>
        <w:r w:rsidR="002E0F31">
          <w:rPr>
            <w:noProof/>
          </w:rPr>
          <w:fldChar w:fldCharType="end"/>
        </w:r>
        <w:r>
          <w:rPr>
            <w:noProof/>
          </w:rPr>
          <w:t xml:space="preserve"> -</w:t>
        </w:r>
        <w:r>
          <w:rPr>
            <w:noProof/>
          </w:rPr>
          <w:tab/>
          <w:t>2016</w:t>
        </w:r>
      </w:sdtContent>
    </w:sdt>
  </w:p>
  <w:p w:rsidR="00F8033D" w:rsidRDefault="00F803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0E9" w:rsidRDefault="00EB20E9" w:rsidP="004970D6">
      <w:r>
        <w:separator/>
      </w:r>
    </w:p>
  </w:footnote>
  <w:footnote w:type="continuationSeparator" w:id="0">
    <w:p w:rsidR="00EB20E9" w:rsidRDefault="00EB20E9" w:rsidP="00497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57E3E"/>
    <w:multiLevelType w:val="hybridMultilevel"/>
    <w:tmpl w:val="7F94B07E"/>
    <w:lvl w:ilvl="0" w:tplc="3B408890">
      <w:start w:val="2"/>
      <w:numFmt w:val="bullet"/>
      <w:lvlText w:val="-"/>
      <w:lvlJc w:val="left"/>
      <w:pPr>
        <w:ind w:left="4590" w:hanging="360"/>
      </w:pPr>
      <w:rPr>
        <w:rFonts w:ascii="Times New Roman" w:eastAsia="Times New Roman" w:hAnsi="Times New Roman" w:cs="Times New Roman" w:hint="default"/>
      </w:rPr>
    </w:lvl>
    <w:lvl w:ilvl="1" w:tplc="14090003" w:tentative="1">
      <w:start w:val="1"/>
      <w:numFmt w:val="bullet"/>
      <w:lvlText w:val="o"/>
      <w:lvlJc w:val="left"/>
      <w:pPr>
        <w:ind w:left="5310" w:hanging="360"/>
      </w:pPr>
      <w:rPr>
        <w:rFonts w:ascii="Courier New" w:hAnsi="Courier New" w:cs="Courier New" w:hint="default"/>
      </w:rPr>
    </w:lvl>
    <w:lvl w:ilvl="2" w:tplc="14090005" w:tentative="1">
      <w:start w:val="1"/>
      <w:numFmt w:val="bullet"/>
      <w:lvlText w:val=""/>
      <w:lvlJc w:val="left"/>
      <w:pPr>
        <w:ind w:left="6030" w:hanging="360"/>
      </w:pPr>
      <w:rPr>
        <w:rFonts w:ascii="Wingdings" w:hAnsi="Wingdings" w:hint="default"/>
      </w:rPr>
    </w:lvl>
    <w:lvl w:ilvl="3" w:tplc="14090001" w:tentative="1">
      <w:start w:val="1"/>
      <w:numFmt w:val="bullet"/>
      <w:lvlText w:val=""/>
      <w:lvlJc w:val="left"/>
      <w:pPr>
        <w:ind w:left="6750" w:hanging="360"/>
      </w:pPr>
      <w:rPr>
        <w:rFonts w:ascii="Symbol" w:hAnsi="Symbol" w:hint="default"/>
      </w:rPr>
    </w:lvl>
    <w:lvl w:ilvl="4" w:tplc="14090003" w:tentative="1">
      <w:start w:val="1"/>
      <w:numFmt w:val="bullet"/>
      <w:lvlText w:val="o"/>
      <w:lvlJc w:val="left"/>
      <w:pPr>
        <w:ind w:left="7470" w:hanging="360"/>
      </w:pPr>
      <w:rPr>
        <w:rFonts w:ascii="Courier New" w:hAnsi="Courier New" w:cs="Courier New" w:hint="default"/>
      </w:rPr>
    </w:lvl>
    <w:lvl w:ilvl="5" w:tplc="14090005" w:tentative="1">
      <w:start w:val="1"/>
      <w:numFmt w:val="bullet"/>
      <w:lvlText w:val=""/>
      <w:lvlJc w:val="left"/>
      <w:pPr>
        <w:ind w:left="8190" w:hanging="360"/>
      </w:pPr>
      <w:rPr>
        <w:rFonts w:ascii="Wingdings" w:hAnsi="Wingdings" w:hint="default"/>
      </w:rPr>
    </w:lvl>
    <w:lvl w:ilvl="6" w:tplc="14090001" w:tentative="1">
      <w:start w:val="1"/>
      <w:numFmt w:val="bullet"/>
      <w:lvlText w:val=""/>
      <w:lvlJc w:val="left"/>
      <w:pPr>
        <w:ind w:left="8910" w:hanging="360"/>
      </w:pPr>
      <w:rPr>
        <w:rFonts w:ascii="Symbol" w:hAnsi="Symbol" w:hint="default"/>
      </w:rPr>
    </w:lvl>
    <w:lvl w:ilvl="7" w:tplc="14090003" w:tentative="1">
      <w:start w:val="1"/>
      <w:numFmt w:val="bullet"/>
      <w:lvlText w:val="o"/>
      <w:lvlJc w:val="left"/>
      <w:pPr>
        <w:ind w:left="9630" w:hanging="360"/>
      </w:pPr>
      <w:rPr>
        <w:rFonts w:ascii="Courier New" w:hAnsi="Courier New" w:cs="Courier New" w:hint="default"/>
      </w:rPr>
    </w:lvl>
    <w:lvl w:ilvl="8" w:tplc="14090005" w:tentative="1">
      <w:start w:val="1"/>
      <w:numFmt w:val="bullet"/>
      <w:lvlText w:val=""/>
      <w:lvlJc w:val="left"/>
      <w:pPr>
        <w:ind w:left="10350" w:hanging="360"/>
      </w:pPr>
      <w:rPr>
        <w:rFonts w:ascii="Wingdings" w:hAnsi="Wingdings" w:hint="default"/>
      </w:rPr>
    </w:lvl>
  </w:abstractNum>
  <w:abstractNum w:abstractNumId="1" w15:restartNumberingAfterBreak="0">
    <w:nsid w:val="27FD48BA"/>
    <w:multiLevelType w:val="hybridMultilevel"/>
    <w:tmpl w:val="87A09FA8"/>
    <w:lvl w:ilvl="0" w:tplc="D3BA2A22">
      <w:start w:val="1"/>
      <w:numFmt w:val="bullet"/>
      <w:lvlText w:val=""/>
      <w:lvlJc w:val="left"/>
      <w:pPr>
        <w:ind w:left="720" w:hanging="360"/>
      </w:pPr>
      <w:rPr>
        <w:rFonts w:ascii="Symbol" w:hAnsi="Symbol"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17D4D12"/>
    <w:multiLevelType w:val="multilevel"/>
    <w:tmpl w:val="ED4ADA06"/>
    <w:lvl w:ilvl="0">
      <w:start w:val="5"/>
      <w:numFmt w:val="decimal"/>
      <w:lvlText w:val="%1"/>
      <w:lvlJc w:val="left"/>
      <w:pPr>
        <w:tabs>
          <w:tab w:val="num" w:pos="1260"/>
        </w:tabs>
        <w:ind w:left="1260" w:hanging="1260"/>
      </w:pPr>
      <w:rPr>
        <w:rFonts w:hint="default"/>
      </w:rPr>
    </w:lvl>
    <w:lvl w:ilvl="1">
      <w:start w:val="2"/>
      <w:numFmt w:val="decimal"/>
      <w:lvlText w:val="%1.%2"/>
      <w:lvlJc w:val="left"/>
      <w:pPr>
        <w:tabs>
          <w:tab w:val="num" w:pos="1710"/>
        </w:tabs>
        <w:ind w:left="1710" w:hanging="1260"/>
      </w:pPr>
      <w:rPr>
        <w:rFonts w:hint="default"/>
      </w:rPr>
    </w:lvl>
    <w:lvl w:ilvl="2">
      <w:start w:val="1"/>
      <w:numFmt w:val="decimal"/>
      <w:lvlText w:val="%1.%2.%3"/>
      <w:lvlJc w:val="left"/>
      <w:pPr>
        <w:tabs>
          <w:tab w:val="num" w:pos="2394"/>
        </w:tabs>
        <w:ind w:left="2394" w:hanging="1260"/>
      </w:pPr>
      <w:rPr>
        <w:rFonts w:hint="default"/>
        <w:b w:val="0"/>
        <w:i w:val="0"/>
      </w:rPr>
    </w:lvl>
    <w:lvl w:ilvl="3">
      <w:start w:val="1"/>
      <w:numFmt w:val="decimal"/>
      <w:lvlText w:val="%1.%2.%3.%4"/>
      <w:lvlJc w:val="left"/>
      <w:pPr>
        <w:tabs>
          <w:tab w:val="num" w:pos="2610"/>
        </w:tabs>
        <w:ind w:left="2610" w:hanging="1260"/>
      </w:pPr>
      <w:rPr>
        <w:rFonts w:hint="default"/>
      </w:rPr>
    </w:lvl>
    <w:lvl w:ilvl="4">
      <w:start w:val="1"/>
      <w:numFmt w:val="decimal"/>
      <w:lvlText w:val="%1.%2.%3.%4.%5"/>
      <w:lvlJc w:val="left"/>
      <w:pPr>
        <w:tabs>
          <w:tab w:val="num" w:pos="3060"/>
        </w:tabs>
        <w:ind w:left="3060" w:hanging="1260"/>
      </w:pPr>
      <w:rPr>
        <w:rFonts w:hint="default"/>
      </w:rPr>
    </w:lvl>
    <w:lvl w:ilvl="5">
      <w:start w:val="1"/>
      <w:numFmt w:val="decimal"/>
      <w:lvlText w:val="%1.%2.%3.%4.%5.%6"/>
      <w:lvlJc w:val="left"/>
      <w:pPr>
        <w:tabs>
          <w:tab w:val="num" w:pos="3510"/>
        </w:tabs>
        <w:ind w:left="3510" w:hanging="126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3" w15:restartNumberingAfterBreak="0">
    <w:nsid w:val="38683368"/>
    <w:multiLevelType w:val="hybridMultilevel"/>
    <w:tmpl w:val="DCB6B89C"/>
    <w:lvl w:ilvl="0" w:tplc="D3BA2A22">
      <w:start w:val="1"/>
      <w:numFmt w:val="bullet"/>
      <w:lvlText w:val=""/>
      <w:lvlJc w:val="left"/>
      <w:pPr>
        <w:ind w:left="720" w:hanging="360"/>
      </w:pPr>
      <w:rPr>
        <w:rFonts w:ascii="Symbol" w:hAnsi="Symbol"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9FA6E4C"/>
    <w:multiLevelType w:val="hybridMultilevel"/>
    <w:tmpl w:val="A68E3D58"/>
    <w:lvl w:ilvl="0" w:tplc="44864146">
      <w:numFmt w:val="bullet"/>
      <w:lvlText w:val="-"/>
      <w:lvlJc w:val="left"/>
      <w:pPr>
        <w:ind w:left="4329" w:hanging="360"/>
      </w:pPr>
      <w:rPr>
        <w:rFonts w:ascii="Times New Roman" w:eastAsia="Times New Roman" w:hAnsi="Times New Roman" w:cs="Times New Roman" w:hint="default"/>
      </w:rPr>
    </w:lvl>
    <w:lvl w:ilvl="1" w:tplc="14090003" w:tentative="1">
      <w:start w:val="1"/>
      <w:numFmt w:val="bullet"/>
      <w:lvlText w:val="o"/>
      <w:lvlJc w:val="left"/>
      <w:pPr>
        <w:ind w:left="5049" w:hanging="360"/>
      </w:pPr>
      <w:rPr>
        <w:rFonts w:ascii="Courier New" w:hAnsi="Courier New" w:cs="Courier New" w:hint="default"/>
      </w:rPr>
    </w:lvl>
    <w:lvl w:ilvl="2" w:tplc="14090005" w:tentative="1">
      <w:start w:val="1"/>
      <w:numFmt w:val="bullet"/>
      <w:lvlText w:val=""/>
      <w:lvlJc w:val="left"/>
      <w:pPr>
        <w:ind w:left="5769" w:hanging="360"/>
      </w:pPr>
      <w:rPr>
        <w:rFonts w:ascii="Wingdings" w:hAnsi="Wingdings" w:hint="default"/>
      </w:rPr>
    </w:lvl>
    <w:lvl w:ilvl="3" w:tplc="14090001" w:tentative="1">
      <w:start w:val="1"/>
      <w:numFmt w:val="bullet"/>
      <w:lvlText w:val=""/>
      <w:lvlJc w:val="left"/>
      <w:pPr>
        <w:ind w:left="6489" w:hanging="360"/>
      </w:pPr>
      <w:rPr>
        <w:rFonts w:ascii="Symbol" w:hAnsi="Symbol" w:hint="default"/>
      </w:rPr>
    </w:lvl>
    <w:lvl w:ilvl="4" w:tplc="14090003" w:tentative="1">
      <w:start w:val="1"/>
      <w:numFmt w:val="bullet"/>
      <w:lvlText w:val="o"/>
      <w:lvlJc w:val="left"/>
      <w:pPr>
        <w:ind w:left="7209" w:hanging="360"/>
      </w:pPr>
      <w:rPr>
        <w:rFonts w:ascii="Courier New" w:hAnsi="Courier New" w:cs="Courier New" w:hint="default"/>
      </w:rPr>
    </w:lvl>
    <w:lvl w:ilvl="5" w:tplc="14090005" w:tentative="1">
      <w:start w:val="1"/>
      <w:numFmt w:val="bullet"/>
      <w:lvlText w:val=""/>
      <w:lvlJc w:val="left"/>
      <w:pPr>
        <w:ind w:left="7929" w:hanging="360"/>
      </w:pPr>
      <w:rPr>
        <w:rFonts w:ascii="Wingdings" w:hAnsi="Wingdings" w:hint="default"/>
      </w:rPr>
    </w:lvl>
    <w:lvl w:ilvl="6" w:tplc="14090001" w:tentative="1">
      <w:start w:val="1"/>
      <w:numFmt w:val="bullet"/>
      <w:lvlText w:val=""/>
      <w:lvlJc w:val="left"/>
      <w:pPr>
        <w:ind w:left="8649" w:hanging="360"/>
      </w:pPr>
      <w:rPr>
        <w:rFonts w:ascii="Symbol" w:hAnsi="Symbol" w:hint="default"/>
      </w:rPr>
    </w:lvl>
    <w:lvl w:ilvl="7" w:tplc="14090003" w:tentative="1">
      <w:start w:val="1"/>
      <w:numFmt w:val="bullet"/>
      <w:lvlText w:val="o"/>
      <w:lvlJc w:val="left"/>
      <w:pPr>
        <w:ind w:left="9369" w:hanging="360"/>
      </w:pPr>
      <w:rPr>
        <w:rFonts w:ascii="Courier New" w:hAnsi="Courier New" w:cs="Courier New" w:hint="default"/>
      </w:rPr>
    </w:lvl>
    <w:lvl w:ilvl="8" w:tplc="14090005" w:tentative="1">
      <w:start w:val="1"/>
      <w:numFmt w:val="bullet"/>
      <w:lvlText w:val=""/>
      <w:lvlJc w:val="left"/>
      <w:pPr>
        <w:ind w:left="10089" w:hanging="360"/>
      </w:pPr>
      <w:rPr>
        <w:rFonts w:ascii="Wingdings" w:hAnsi="Wingdings" w:hint="default"/>
      </w:rPr>
    </w:lvl>
  </w:abstractNum>
  <w:abstractNum w:abstractNumId="5" w15:restartNumberingAfterBreak="0">
    <w:nsid w:val="3D732ED7"/>
    <w:multiLevelType w:val="hybridMultilevel"/>
    <w:tmpl w:val="9A064C8A"/>
    <w:lvl w:ilvl="0" w:tplc="BEE4BEA6">
      <w:start w:val="2"/>
      <w:numFmt w:val="bullet"/>
      <w:lvlText w:val="-"/>
      <w:lvlJc w:val="left"/>
      <w:pPr>
        <w:ind w:left="4590" w:hanging="360"/>
      </w:pPr>
      <w:rPr>
        <w:rFonts w:ascii="Times New Roman" w:eastAsia="Times New Roman" w:hAnsi="Times New Roman" w:cs="Times New Roman" w:hint="default"/>
      </w:rPr>
    </w:lvl>
    <w:lvl w:ilvl="1" w:tplc="14090003" w:tentative="1">
      <w:start w:val="1"/>
      <w:numFmt w:val="bullet"/>
      <w:lvlText w:val="o"/>
      <w:lvlJc w:val="left"/>
      <w:pPr>
        <w:ind w:left="5310" w:hanging="360"/>
      </w:pPr>
      <w:rPr>
        <w:rFonts w:ascii="Courier New" w:hAnsi="Courier New" w:cs="Courier New" w:hint="default"/>
      </w:rPr>
    </w:lvl>
    <w:lvl w:ilvl="2" w:tplc="14090005" w:tentative="1">
      <w:start w:val="1"/>
      <w:numFmt w:val="bullet"/>
      <w:lvlText w:val=""/>
      <w:lvlJc w:val="left"/>
      <w:pPr>
        <w:ind w:left="6030" w:hanging="360"/>
      </w:pPr>
      <w:rPr>
        <w:rFonts w:ascii="Wingdings" w:hAnsi="Wingdings" w:hint="default"/>
      </w:rPr>
    </w:lvl>
    <w:lvl w:ilvl="3" w:tplc="14090001" w:tentative="1">
      <w:start w:val="1"/>
      <w:numFmt w:val="bullet"/>
      <w:lvlText w:val=""/>
      <w:lvlJc w:val="left"/>
      <w:pPr>
        <w:ind w:left="6750" w:hanging="360"/>
      </w:pPr>
      <w:rPr>
        <w:rFonts w:ascii="Symbol" w:hAnsi="Symbol" w:hint="default"/>
      </w:rPr>
    </w:lvl>
    <w:lvl w:ilvl="4" w:tplc="14090003" w:tentative="1">
      <w:start w:val="1"/>
      <w:numFmt w:val="bullet"/>
      <w:lvlText w:val="o"/>
      <w:lvlJc w:val="left"/>
      <w:pPr>
        <w:ind w:left="7470" w:hanging="360"/>
      </w:pPr>
      <w:rPr>
        <w:rFonts w:ascii="Courier New" w:hAnsi="Courier New" w:cs="Courier New" w:hint="default"/>
      </w:rPr>
    </w:lvl>
    <w:lvl w:ilvl="5" w:tplc="14090005" w:tentative="1">
      <w:start w:val="1"/>
      <w:numFmt w:val="bullet"/>
      <w:lvlText w:val=""/>
      <w:lvlJc w:val="left"/>
      <w:pPr>
        <w:ind w:left="8190" w:hanging="360"/>
      </w:pPr>
      <w:rPr>
        <w:rFonts w:ascii="Wingdings" w:hAnsi="Wingdings" w:hint="default"/>
      </w:rPr>
    </w:lvl>
    <w:lvl w:ilvl="6" w:tplc="14090001" w:tentative="1">
      <w:start w:val="1"/>
      <w:numFmt w:val="bullet"/>
      <w:lvlText w:val=""/>
      <w:lvlJc w:val="left"/>
      <w:pPr>
        <w:ind w:left="8910" w:hanging="360"/>
      </w:pPr>
      <w:rPr>
        <w:rFonts w:ascii="Symbol" w:hAnsi="Symbol" w:hint="default"/>
      </w:rPr>
    </w:lvl>
    <w:lvl w:ilvl="7" w:tplc="14090003" w:tentative="1">
      <w:start w:val="1"/>
      <w:numFmt w:val="bullet"/>
      <w:lvlText w:val="o"/>
      <w:lvlJc w:val="left"/>
      <w:pPr>
        <w:ind w:left="9630" w:hanging="360"/>
      </w:pPr>
      <w:rPr>
        <w:rFonts w:ascii="Courier New" w:hAnsi="Courier New" w:cs="Courier New" w:hint="default"/>
      </w:rPr>
    </w:lvl>
    <w:lvl w:ilvl="8" w:tplc="14090005" w:tentative="1">
      <w:start w:val="1"/>
      <w:numFmt w:val="bullet"/>
      <w:lvlText w:val=""/>
      <w:lvlJc w:val="left"/>
      <w:pPr>
        <w:ind w:left="10350" w:hanging="360"/>
      </w:pPr>
      <w:rPr>
        <w:rFonts w:ascii="Wingdings" w:hAnsi="Wingdings" w:hint="default"/>
      </w:rPr>
    </w:lvl>
  </w:abstractNum>
  <w:abstractNum w:abstractNumId="6" w15:restartNumberingAfterBreak="0">
    <w:nsid w:val="531A5A30"/>
    <w:multiLevelType w:val="multilevel"/>
    <w:tmpl w:val="ED4ADA06"/>
    <w:lvl w:ilvl="0">
      <w:start w:val="5"/>
      <w:numFmt w:val="decimal"/>
      <w:lvlText w:val="%1"/>
      <w:lvlJc w:val="left"/>
      <w:pPr>
        <w:tabs>
          <w:tab w:val="num" w:pos="1260"/>
        </w:tabs>
        <w:ind w:left="1260" w:hanging="1260"/>
      </w:pPr>
      <w:rPr>
        <w:rFonts w:hint="default"/>
      </w:rPr>
    </w:lvl>
    <w:lvl w:ilvl="1">
      <w:start w:val="2"/>
      <w:numFmt w:val="decimal"/>
      <w:lvlText w:val="%1.%2"/>
      <w:lvlJc w:val="left"/>
      <w:pPr>
        <w:tabs>
          <w:tab w:val="num" w:pos="1710"/>
        </w:tabs>
        <w:ind w:left="1710" w:hanging="1260"/>
      </w:pPr>
      <w:rPr>
        <w:rFonts w:hint="default"/>
      </w:rPr>
    </w:lvl>
    <w:lvl w:ilvl="2">
      <w:start w:val="1"/>
      <w:numFmt w:val="decimal"/>
      <w:lvlText w:val="%1.%2.%3"/>
      <w:lvlJc w:val="left"/>
      <w:pPr>
        <w:tabs>
          <w:tab w:val="num" w:pos="2160"/>
        </w:tabs>
        <w:ind w:left="2160" w:hanging="1260"/>
      </w:pPr>
      <w:rPr>
        <w:rFonts w:hint="default"/>
        <w:b w:val="0"/>
        <w:i w:val="0"/>
      </w:rPr>
    </w:lvl>
    <w:lvl w:ilvl="3">
      <w:start w:val="1"/>
      <w:numFmt w:val="decimal"/>
      <w:lvlText w:val="%1.%2.%3.%4"/>
      <w:lvlJc w:val="left"/>
      <w:pPr>
        <w:tabs>
          <w:tab w:val="num" w:pos="2610"/>
        </w:tabs>
        <w:ind w:left="2610" w:hanging="1260"/>
      </w:pPr>
      <w:rPr>
        <w:rFonts w:hint="default"/>
      </w:rPr>
    </w:lvl>
    <w:lvl w:ilvl="4">
      <w:start w:val="1"/>
      <w:numFmt w:val="decimal"/>
      <w:lvlText w:val="%1.%2.%3.%4.%5"/>
      <w:lvlJc w:val="left"/>
      <w:pPr>
        <w:tabs>
          <w:tab w:val="num" w:pos="3060"/>
        </w:tabs>
        <w:ind w:left="3060" w:hanging="1260"/>
      </w:pPr>
      <w:rPr>
        <w:rFonts w:hint="default"/>
      </w:rPr>
    </w:lvl>
    <w:lvl w:ilvl="5">
      <w:start w:val="1"/>
      <w:numFmt w:val="decimal"/>
      <w:lvlText w:val="%1.%2.%3.%4.%5.%6"/>
      <w:lvlJc w:val="left"/>
      <w:pPr>
        <w:tabs>
          <w:tab w:val="num" w:pos="3510"/>
        </w:tabs>
        <w:ind w:left="3510" w:hanging="126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num w:numId="1">
    <w:abstractNumId w:val="6"/>
  </w:num>
  <w:num w:numId="2">
    <w:abstractNumId w:val="2"/>
  </w:num>
  <w:num w:numId="3">
    <w:abstractNumId w:val="5"/>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0D6"/>
    <w:rsid w:val="00064907"/>
    <w:rsid w:val="00086D48"/>
    <w:rsid w:val="000B131A"/>
    <w:rsid w:val="00104E19"/>
    <w:rsid w:val="0013337B"/>
    <w:rsid w:val="00160C24"/>
    <w:rsid w:val="001E4B02"/>
    <w:rsid w:val="00262909"/>
    <w:rsid w:val="00267529"/>
    <w:rsid w:val="002C4544"/>
    <w:rsid w:val="002C4785"/>
    <w:rsid w:val="002D4896"/>
    <w:rsid w:val="002E0F31"/>
    <w:rsid w:val="0030642E"/>
    <w:rsid w:val="00313CBA"/>
    <w:rsid w:val="00334D6D"/>
    <w:rsid w:val="003B6A8C"/>
    <w:rsid w:val="003D7E42"/>
    <w:rsid w:val="004040B7"/>
    <w:rsid w:val="00452870"/>
    <w:rsid w:val="00474CCE"/>
    <w:rsid w:val="004773BA"/>
    <w:rsid w:val="004970D6"/>
    <w:rsid w:val="004A7636"/>
    <w:rsid w:val="004B4511"/>
    <w:rsid w:val="004D79C1"/>
    <w:rsid w:val="00515B7B"/>
    <w:rsid w:val="00547DE5"/>
    <w:rsid w:val="005E2671"/>
    <w:rsid w:val="005E79EB"/>
    <w:rsid w:val="005F0E78"/>
    <w:rsid w:val="006749C2"/>
    <w:rsid w:val="00687E4F"/>
    <w:rsid w:val="006C23A8"/>
    <w:rsid w:val="006E124A"/>
    <w:rsid w:val="006E4CF1"/>
    <w:rsid w:val="00705458"/>
    <w:rsid w:val="00724586"/>
    <w:rsid w:val="0076345F"/>
    <w:rsid w:val="007F347F"/>
    <w:rsid w:val="00845EEE"/>
    <w:rsid w:val="00854758"/>
    <w:rsid w:val="008A1F57"/>
    <w:rsid w:val="008B5587"/>
    <w:rsid w:val="008C2157"/>
    <w:rsid w:val="00916B33"/>
    <w:rsid w:val="00934303"/>
    <w:rsid w:val="00964A3C"/>
    <w:rsid w:val="009B0B38"/>
    <w:rsid w:val="009D2387"/>
    <w:rsid w:val="009D7FF7"/>
    <w:rsid w:val="00A074D2"/>
    <w:rsid w:val="00A1698C"/>
    <w:rsid w:val="00A57BF0"/>
    <w:rsid w:val="00AA577D"/>
    <w:rsid w:val="00B01B0B"/>
    <w:rsid w:val="00B11BBE"/>
    <w:rsid w:val="00B21974"/>
    <w:rsid w:val="00B24B36"/>
    <w:rsid w:val="00B63DFB"/>
    <w:rsid w:val="00B72290"/>
    <w:rsid w:val="00BB172B"/>
    <w:rsid w:val="00BC729B"/>
    <w:rsid w:val="00C11AF9"/>
    <w:rsid w:val="00C2194B"/>
    <w:rsid w:val="00C35A7A"/>
    <w:rsid w:val="00C5297A"/>
    <w:rsid w:val="00CB5B53"/>
    <w:rsid w:val="00CC52CA"/>
    <w:rsid w:val="00D42CFD"/>
    <w:rsid w:val="00DA3F12"/>
    <w:rsid w:val="00E052EC"/>
    <w:rsid w:val="00E94F87"/>
    <w:rsid w:val="00EA4DFD"/>
    <w:rsid w:val="00EB20E9"/>
    <w:rsid w:val="00EB3194"/>
    <w:rsid w:val="00F50DAA"/>
    <w:rsid w:val="00F8033D"/>
    <w:rsid w:val="00F91625"/>
    <w:rsid w:val="00F92C6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0A2DB"/>
  <w15:chartTrackingRefBased/>
  <w15:docId w15:val="{01DE6A9B-AFD7-4C3D-BDF6-25FB129C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970D6"/>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0D6"/>
    <w:pPr>
      <w:tabs>
        <w:tab w:val="center" w:pos="4513"/>
        <w:tab w:val="right" w:pos="9026"/>
      </w:tabs>
    </w:pPr>
  </w:style>
  <w:style w:type="character" w:customStyle="1" w:styleId="HeaderChar">
    <w:name w:val="Header Char"/>
    <w:basedOn w:val="DefaultParagraphFont"/>
    <w:link w:val="Header"/>
    <w:uiPriority w:val="99"/>
    <w:rsid w:val="004970D6"/>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4970D6"/>
    <w:pPr>
      <w:tabs>
        <w:tab w:val="center" w:pos="4513"/>
        <w:tab w:val="right" w:pos="9026"/>
      </w:tabs>
    </w:pPr>
  </w:style>
  <w:style w:type="character" w:customStyle="1" w:styleId="FooterChar">
    <w:name w:val="Footer Char"/>
    <w:basedOn w:val="DefaultParagraphFont"/>
    <w:link w:val="Footer"/>
    <w:uiPriority w:val="99"/>
    <w:rsid w:val="004970D6"/>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086D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D48"/>
    <w:rPr>
      <w:rFonts w:ascii="Segoe UI" w:eastAsia="Times New Roman" w:hAnsi="Segoe UI" w:cs="Segoe UI"/>
      <w:sz w:val="18"/>
      <w:szCs w:val="18"/>
      <w:lang w:val="en-AU"/>
    </w:rPr>
  </w:style>
  <w:style w:type="paragraph" w:styleId="ListParagraph">
    <w:name w:val="List Paragraph"/>
    <w:basedOn w:val="Normal"/>
    <w:uiPriority w:val="34"/>
    <w:qFormat/>
    <w:rsid w:val="00B11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6" ma:contentTypeDescription="Create a new document." ma:contentTypeScope="" ma:versionID="8022b7ea6e392a707757ee52c37ced63">
  <xsd:schema xmlns:xsd="http://www.w3.org/2001/XMLSchema" xmlns:xs="http://www.w3.org/2001/XMLSchema" xmlns:p="http://schemas.microsoft.com/office/2006/metadata/properties" xmlns:ns2="4fb0e633-e10e-4f72-bd97-71b29ba6a154" targetNamespace="http://schemas.microsoft.com/office/2006/metadata/properties" ma:root="true" ma:fieldsID="bdfa1aa6340161ece5dba1d8101ee95f" ns2:_="">
    <xsd:import namespace="4fb0e633-e10e-4f72-bd97-71b29ba6a154"/>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7706C-6979-4C50-BDFF-C2EA0EEAA511}">
  <ds:schemaRefs>
    <ds:schemaRef ds:uri="http://schemas.microsoft.com/office/2006/metadata/properties"/>
    <ds:schemaRef ds:uri="http://schemas.microsoft.com/office/infopath/2007/PartnerControls"/>
    <ds:schemaRef ds:uri="4fb0e633-e10e-4f72-bd97-71b29ba6a154"/>
  </ds:schemaRefs>
</ds:datastoreItem>
</file>

<file path=customXml/itemProps2.xml><?xml version="1.0" encoding="utf-8"?>
<ds:datastoreItem xmlns:ds="http://schemas.openxmlformats.org/officeDocument/2006/customXml" ds:itemID="{DF47349F-9C86-4DE8-B87C-CD8C65979D57}">
  <ds:schemaRefs>
    <ds:schemaRef ds:uri="http://schemas.microsoft.com/sharepoint/v3/contenttype/forms"/>
  </ds:schemaRefs>
</ds:datastoreItem>
</file>

<file path=customXml/itemProps3.xml><?xml version="1.0" encoding="utf-8"?>
<ds:datastoreItem xmlns:ds="http://schemas.openxmlformats.org/officeDocument/2006/customXml" ds:itemID="{4B5B808D-3850-42A5-97F7-E0724521A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Canon Update 2016 ACMO B51</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 Update 2016 ACMO B51</dc:title>
  <dc:subject/>
  <dc:creator>Marissa Alix</dc:creator>
  <cp:keywords/>
  <dc:description/>
  <cp:lastModifiedBy>Marissa Alix</cp:lastModifiedBy>
  <cp:revision>2</cp:revision>
  <cp:lastPrinted>2016-12-12T00:23:00Z</cp:lastPrinted>
  <dcterms:created xsi:type="dcterms:W3CDTF">2017-04-27T04:05:00Z</dcterms:created>
  <dcterms:modified xsi:type="dcterms:W3CDTF">2017-04-27T04:05:00Z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